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D577B">
      <w:pPr>
        <w:pStyle w:val="2"/>
        <w:ind w:left="0" w:leftChars="0" w:firstLine="0" w:firstLineChars="0"/>
        <w:rPr>
          <w:rFonts w:hint="eastAsia"/>
          <w:lang w:val="en-US" w:eastAsia="zh-CN"/>
        </w:rPr>
      </w:pPr>
    </w:p>
    <w:p w14:paraId="5591D488">
      <w:pPr>
        <w:keepNext w:val="0"/>
        <w:keepLines w:val="0"/>
        <w:pageBreakBefore w:val="0"/>
        <w:widowControl w:val="0"/>
        <w:suppressLineNumbers w:val="0"/>
        <w:kinsoku/>
        <w:wordWrap/>
        <w:overflowPunct/>
        <w:topLinePunct w:val="0"/>
        <w:autoSpaceDE w:val="0"/>
        <w:autoSpaceDN/>
        <w:bidi w:val="0"/>
        <w:adjustRightInd/>
        <w:snapToGrid/>
        <w:spacing w:before="313" w:beforeLines="100" w:beforeAutospacing="0" w:afterAutospacing="0" w:line="560" w:lineRule="exact"/>
        <w:ind w:left="0" w:leftChars="0" w:right="0"/>
        <w:jc w:val="right"/>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沁审管投函</w:t>
      </w:r>
      <w:r>
        <w:rPr>
          <w:rFonts w:hint="eastAsia" w:ascii="微软雅黑" w:hAnsi="微软雅黑" w:eastAsia="微软雅黑" w:cs="微软雅黑"/>
          <w:kern w:val="2"/>
          <w:sz w:val="32"/>
          <w:szCs w:val="32"/>
          <w:lang w:val="en-US" w:eastAsia="zh-CN" w:bidi="ar"/>
        </w:rPr>
        <w:t>〔</w:t>
      </w:r>
      <w:r>
        <w:rPr>
          <w:rFonts w:hint="eastAsia" w:ascii="仿宋_GB2312" w:hAnsi="Calibri" w:eastAsia="仿宋_GB2312" w:cs="仿宋_GB2312"/>
          <w:kern w:val="2"/>
          <w:sz w:val="32"/>
          <w:szCs w:val="32"/>
          <w:lang w:val="en-US" w:eastAsia="zh-CN" w:bidi="ar"/>
        </w:rPr>
        <w:t>2026</w:t>
      </w:r>
      <w:r>
        <w:rPr>
          <w:rFonts w:hint="eastAsia" w:ascii="微软雅黑" w:hAnsi="微软雅黑" w:eastAsia="微软雅黑" w:cs="微软雅黑"/>
          <w:kern w:val="2"/>
          <w:sz w:val="32"/>
          <w:szCs w:val="32"/>
          <w:lang w:val="en-US" w:eastAsia="zh-CN" w:bidi="ar"/>
        </w:rPr>
        <w:t>〕</w:t>
      </w:r>
      <w:r>
        <w:rPr>
          <w:rFonts w:hint="eastAsia" w:ascii="仿宋_GB2312" w:hAnsi="Calibri" w:eastAsia="仿宋_GB2312" w:cs="仿宋_GB2312"/>
          <w:kern w:val="2"/>
          <w:sz w:val="32"/>
          <w:szCs w:val="32"/>
          <w:lang w:val="en-US" w:eastAsia="zh-CN" w:bidi="ar"/>
        </w:rPr>
        <w:t>5号</w:t>
      </w:r>
    </w:p>
    <w:p w14:paraId="4BDD60F5">
      <w:pPr>
        <w:keepNext w:val="0"/>
        <w:keepLines w:val="0"/>
        <w:pageBreakBefore w:val="0"/>
        <w:widowControl w:val="0"/>
        <w:suppressLineNumbers w:val="0"/>
        <w:kinsoku/>
        <w:overflowPunct/>
        <w:topLinePunct w:val="0"/>
        <w:autoSpaceDN/>
        <w:bidi w:val="0"/>
        <w:adjustRightInd/>
        <w:snapToGrid/>
        <w:spacing w:beforeAutospacing="0" w:afterAutospacing="0" w:line="560" w:lineRule="exact"/>
        <w:ind w:left="0" w:leftChars="0" w:right="0" w:firstLine="1980" w:firstLineChars="450"/>
        <w:jc w:val="left"/>
        <w:textAlignment w:val="auto"/>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lang w:val="en-US" w:eastAsia="zh-CN" w:bidi="ar"/>
        </w:rPr>
        <w:t xml:space="preserve"> </w:t>
      </w:r>
    </w:p>
    <w:p w14:paraId="1EB5B71C">
      <w:pPr>
        <w:keepNext w:val="0"/>
        <w:keepLines w:val="0"/>
        <w:pageBreakBefore w:val="0"/>
        <w:widowControl w:val="0"/>
        <w:suppressLineNumbers w:val="0"/>
        <w:kinsoku/>
        <w:overflowPunct/>
        <w:topLinePunct w:val="0"/>
        <w:autoSpaceDN/>
        <w:bidi w:val="0"/>
        <w:adjustRightInd/>
        <w:snapToGrid/>
        <w:spacing w:beforeAutospacing="0" w:afterAutospacing="0" w:line="560" w:lineRule="exact"/>
        <w:ind w:left="0" w:leftChars="0" w:right="0"/>
        <w:jc w:val="center"/>
        <w:textAlignment w:val="auto"/>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lang w:val="en-US" w:eastAsia="zh-CN" w:bidi="ar"/>
        </w:rPr>
        <w:t>沁县行政审批服务管理局</w:t>
      </w:r>
    </w:p>
    <w:p w14:paraId="06B1931B">
      <w:pPr>
        <w:keepNext w:val="0"/>
        <w:keepLines w:val="0"/>
        <w:pageBreakBefore w:val="0"/>
        <w:widowControl w:val="0"/>
        <w:suppressLineNumbers w:val="0"/>
        <w:kinsoku/>
        <w:overflowPunct/>
        <w:topLinePunct w:val="0"/>
        <w:autoSpaceDN/>
        <w:bidi w:val="0"/>
        <w:adjustRightInd/>
        <w:snapToGrid/>
        <w:spacing w:beforeAutospacing="0" w:afterAutospacing="0" w:line="560" w:lineRule="exact"/>
        <w:ind w:left="0" w:leftChars="0" w:right="0"/>
        <w:jc w:val="center"/>
        <w:textAlignment w:val="auto"/>
        <w:rPr>
          <w:rFonts w:hint="eastAsia" w:ascii="方正小标宋简体" w:hAnsi="方正小标宋简体" w:eastAsia="方正小标宋简体" w:cs="方正小标宋简体"/>
          <w:kern w:val="2"/>
          <w:sz w:val="44"/>
          <w:szCs w:val="44"/>
          <w:lang w:val="en-US" w:eastAsia="zh-CN" w:bidi="ar"/>
        </w:rPr>
      </w:pPr>
      <w:r>
        <w:rPr>
          <w:rFonts w:hint="eastAsia" w:ascii="方正小标宋简体" w:hAnsi="方正小标宋简体" w:eastAsia="方正小标宋简体" w:cs="方正小标宋简体"/>
          <w:kern w:val="2"/>
          <w:sz w:val="44"/>
          <w:szCs w:val="44"/>
          <w:lang w:val="en-US" w:eastAsia="zh-CN" w:bidi="ar"/>
        </w:rPr>
        <w:t>关于沁县全煤矸石制烧多孔砖项目环境影响</w:t>
      </w:r>
    </w:p>
    <w:p w14:paraId="1EFAAAF3">
      <w:pPr>
        <w:keepNext w:val="0"/>
        <w:keepLines w:val="0"/>
        <w:pageBreakBefore w:val="0"/>
        <w:widowControl w:val="0"/>
        <w:suppressLineNumbers w:val="0"/>
        <w:kinsoku/>
        <w:overflowPunct/>
        <w:topLinePunct w:val="0"/>
        <w:autoSpaceDN/>
        <w:bidi w:val="0"/>
        <w:adjustRightInd/>
        <w:snapToGrid/>
        <w:spacing w:beforeAutospacing="0" w:afterAutospacing="0" w:line="560" w:lineRule="exact"/>
        <w:ind w:left="0" w:leftChars="0" w:right="0"/>
        <w:jc w:val="center"/>
        <w:textAlignment w:val="auto"/>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lang w:val="en-US" w:eastAsia="zh-CN" w:bidi="ar"/>
        </w:rPr>
        <w:t>报告表的批复</w:t>
      </w:r>
    </w:p>
    <w:p w14:paraId="3680B764">
      <w:pPr>
        <w:keepNext w:val="0"/>
        <w:keepLines w:val="0"/>
        <w:pageBreakBefore w:val="0"/>
        <w:widowControl w:val="0"/>
        <w:suppressLineNumbers w:val="0"/>
        <w:kinsoku/>
        <w:overflowPunct/>
        <w:topLinePunct w:val="0"/>
        <w:autoSpaceDN/>
        <w:bidi w:val="0"/>
        <w:adjustRightInd/>
        <w:snapToGrid/>
        <w:spacing w:beforeAutospacing="0" w:afterAutospacing="0" w:line="560" w:lineRule="exact"/>
        <w:ind w:left="0" w:leftChars="0" w:right="0"/>
        <w:jc w:val="both"/>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 xml:space="preserve"> </w:t>
      </w:r>
    </w:p>
    <w:p w14:paraId="09D8448C">
      <w:pPr>
        <w:keepNext w:val="0"/>
        <w:keepLines w:val="0"/>
        <w:pageBreakBefore w:val="0"/>
        <w:widowControl w:val="0"/>
        <w:suppressLineNumbers w:val="0"/>
        <w:kinsoku/>
        <w:overflowPunct/>
        <w:topLinePunct w:val="0"/>
        <w:autoSpaceDE/>
        <w:autoSpaceDN/>
        <w:bidi w:val="0"/>
        <w:adjustRightInd/>
        <w:snapToGrid/>
        <w:spacing w:beforeAutospacing="0" w:afterAutospacing="0" w:line="560" w:lineRule="exact"/>
        <w:ind w:left="0" w:leftChars="0" w:right="0"/>
        <w:jc w:val="both"/>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沁县鑫创节能科技有限公司：</w:t>
      </w:r>
      <w:r>
        <w:rPr>
          <w:rFonts w:hint="eastAsia" w:ascii="仿宋_GB2312" w:hAnsi="Calibri" w:eastAsia="仿宋_GB2312" w:cs="仿宋_GB2312"/>
          <w:kern w:val="2"/>
          <w:sz w:val="32"/>
          <w:szCs w:val="32"/>
          <w:lang w:val="en-US" w:eastAsia="zh-CN" w:bidi="ar"/>
        </w:rPr>
        <w:tab/>
      </w:r>
      <w:r>
        <w:rPr>
          <w:rFonts w:hint="eastAsia" w:ascii="仿宋_GB2312" w:hAnsi="Calibri" w:eastAsia="仿宋_GB2312" w:cs="仿宋_GB2312"/>
          <w:kern w:val="2"/>
          <w:sz w:val="32"/>
          <w:szCs w:val="32"/>
          <w:lang w:val="en-US" w:eastAsia="zh-CN" w:bidi="ar"/>
        </w:rPr>
        <w:tab/>
      </w:r>
    </w:p>
    <w:p w14:paraId="63874418">
      <w:pPr>
        <w:keepNext w:val="0"/>
        <w:keepLines w:val="0"/>
        <w:pageBreakBefore w:val="0"/>
        <w:widowControl w:val="0"/>
        <w:suppressLineNumbers w:val="0"/>
        <w:kinsoku/>
        <w:overflowPunct/>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你单位报送的《关于沁县全煤矸石制烧多孔砖项目环境影响报告表的报批申请》，由山西晋环科源环境资源科技有限公司编制的《沁县全煤矸石制烧多孔砖项目生态环境影响报</w:t>
      </w:r>
      <w:r>
        <w:rPr>
          <w:rFonts w:hint="eastAsia" w:ascii="仿宋_GB2312" w:hAnsi="Calibri" w:eastAsia="仿宋_GB2312" w:cs="仿宋_GB2312"/>
          <w:kern w:val="2"/>
          <w:sz w:val="32"/>
          <w:szCs w:val="32"/>
          <w:highlight w:val="none"/>
          <w:lang w:val="en-US" w:eastAsia="zh-CN" w:bidi="ar"/>
        </w:rPr>
        <w:t>告表》（以下简称《报告表》）等相关材料已收悉。</w:t>
      </w:r>
      <w:r>
        <w:rPr>
          <w:rFonts w:hint="eastAsia" w:ascii="仿宋_GB2312" w:hAnsi="Calibri" w:eastAsia="仿宋_GB2312" w:cs="仿宋_GB2312"/>
          <w:kern w:val="2"/>
          <w:sz w:val="32"/>
          <w:szCs w:val="32"/>
          <w:lang w:val="en-US" w:eastAsia="zh-CN" w:bidi="ar"/>
        </w:rPr>
        <w:t>根据建设项目环境保护管理有关规定，经研究，现批复如下：</w:t>
      </w:r>
    </w:p>
    <w:p w14:paraId="48F0FCCF">
      <w:pPr>
        <w:keepNext w:val="0"/>
        <w:keepLines w:val="0"/>
        <w:pageBreakBefore w:val="0"/>
        <w:widowControl w:val="0"/>
        <w:suppressLineNumbers w:val="0"/>
        <w:kinsoku/>
        <w:overflowPunct/>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一、项目概况</w:t>
      </w:r>
    </w:p>
    <w:p w14:paraId="0547138E">
      <w:pPr>
        <w:keepNext w:val="0"/>
        <w:keepLines w:val="0"/>
        <w:pageBreakBefore w:val="0"/>
        <w:widowControl w:val="0"/>
        <w:kinsoku/>
        <w:wordWrap w:val="0"/>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宋体" w:eastAsia="仿宋_GB2312" w:cs="仿宋_GB2312"/>
          <w:kern w:val="2"/>
          <w:sz w:val="32"/>
          <w:szCs w:val="32"/>
        </w:rPr>
      </w:pPr>
      <w:r>
        <w:rPr>
          <w:rFonts w:hint="eastAsia" w:ascii="仿宋_GB2312" w:hAnsi="宋体" w:eastAsia="仿宋_GB2312" w:cs="仿宋_GB2312"/>
          <w:kern w:val="2"/>
          <w:sz w:val="32"/>
          <w:szCs w:val="32"/>
        </w:rPr>
        <w:t>沁县全煤矸石制烧多孔砖项目（项目代码：2607-140430-89-05-474299），位于山西省长治市沁县新店镇新店村。本项目为</w:t>
      </w:r>
      <w:r>
        <w:rPr>
          <w:rFonts w:hint="eastAsia" w:ascii="仿宋_GB2312" w:hAnsi="宋体" w:eastAsia="仿宋_GB2312" w:cs="仿宋_GB2312"/>
          <w:kern w:val="2"/>
          <w:sz w:val="32"/>
          <w:szCs w:val="32"/>
          <w:lang w:eastAsia="zh-CN"/>
        </w:rPr>
        <w:t>新建</w:t>
      </w:r>
      <w:r>
        <w:rPr>
          <w:rFonts w:hint="eastAsia" w:ascii="仿宋_GB2312" w:hAnsi="宋体" w:eastAsia="仿宋_GB2312" w:cs="仿宋_GB2312"/>
          <w:kern w:val="2"/>
          <w:sz w:val="32"/>
          <w:szCs w:val="32"/>
        </w:rPr>
        <w:t>项目，</w:t>
      </w:r>
      <w:r>
        <w:rPr>
          <w:rFonts w:hint="eastAsia" w:ascii="仿宋_GB2312" w:hAnsi="宋体" w:eastAsia="仿宋_GB2312" w:cs="仿宋_GB2312"/>
          <w:kern w:val="2"/>
          <w:sz w:val="32"/>
          <w:szCs w:val="32"/>
          <w:lang w:eastAsia="zh-CN"/>
        </w:rPr>
        <w:t>主要建设内容为</w:t>
      </w:r>
      <w:r>
        <w:rPr>
          <w:rFonts w:hint="eastAsia" w:ascii="仿宋_GB2312" w:hAnsi="宋体" w:eastAsia="仿宋_GB2312" w:cs="仿宋_GB2312"/>
          <w:kern w:val="2"/>
          <w:sz w:val="32"/>
          <w:szCs w:val="32"/>
        </w:rPr>
        <w:t>年产1.2亿块烧结多孔砖。项目总投资</w:t>
      </w:r>
      <w:r>
        <w:rPr>
          <w:rFonts w:hint="eastAsia" w:ascii="仿宋_GB2312" w:hAnsi="宋体" w:eastAsia="仿宋_GB2312" w:cs="仿宋_GB2312"/>
          <w:kern w:val="2"/>
          <w:sz w:val="32"/>
          <w:szCs w:val="32"/>
          <w:lang w:val="en-US" w:eastAsia="zh-CN"/>
        </w:rPr>
        <w:t>11600</w:t>
      </w:r>
      <w:r>
        <w:rPr>
          <w:rFonts w:hint="eastAsia" w:ascii="仿宋_GB2312" w:hAnsi="宋体" w:eastAsia="仿宋_GB2312" w:cs="仿宋_GB2312"/>
          <w:kern w:val="2"/>
          <w:sz w:val="32"/>
          <w:szCs w:val="32"/>
        </w:rPr>
        <w:t>万元，其中环保投资</w:t>
      </w:r>
      <w:r>
        <w:rPr>
          <w:rFonts w:hint="eastAsia" w:ascii="仿宋_GB2312" w:hAnsi="宋体" w:eastAsia="仿宋_GB2312" w:cs="仿宋_GB2312"/>
          <w:kern w:val="2"/>
          <w:sz w:val="32"/>
          <w:szCs w:val="32"/>
          <w:lang w:val="en-US" w:eastAsia="zh-CN"/>
        </w:rPr>
        <w:t>383.5</w:t>
      </w:r>
      <w:r>
        <w:rPr>
          <w:rFonts w:hint="eastAsia" w:ascii="仿宋_GB2312" w:hAnsi="宋体" w:eastAsia="仿宋_GB2312" w:cs="仿宋_GB2312"/>
          <w:kern w:val="2"/>
          <w:sz w:val="32"/>
          <w:szCs w:val="32"/>
        </w:rPr>
        <w:t>万元。</w:t>
      </w:r>
    </w:p>
    <w:p w14:paraId="60336802">
      <w:pPr>
        <w:keepNext w:val="0"/>
        <w:keepLines w:val="0"/>
        <w:pageBreakBefore w:val="0"/>
        <w:widowControl w:val="0"/>
        <w:kinsoku/>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仿宋_GB2312"/>
          <w:kern w:val="2"/>
          <w:sz w:val="32"/>
          <w:szCs w:val="32"/>
        </w:rPr>
      </w:pPr>
      <w:r>
        <w:rPr>
          <w:rFonts w:hint="eastAsia" w:ascii="仿宋_GB2312" w:hAnsi="宋体" w:eastAsia="仿宋_GB2312" w:cs="仿宋_GB2312"/>
          <w:kern w:val="2"/>
          <w:sz w:val="32"/>
          <w:szCs w:val="32"/>
        </w:rPr>
        <w:t>项目必须全面落实《报告表》提出的各项污染防治措施，有效控制不利环境影响，在此前提下，我局原则同意《报告表》中所列建设项目的性质，规模，地点和拟采取的环境保护措施。</w:t>
      </w:r>
    </w:p>
    <w:p w14:paraId="4FB905D1">
      <w:pPr>
        <w:keepNext w:val="0"/>
        <w:keepLines w:val="0"/>
        <w:pageBreakBefore w:val="0"/>
        <w:widowControl w:val="0"/>
        <w:numPr>
          <w:ilvl w:val="0"/>
          <w:numId w:val="1"/>
        </w:numPr>
        <w:kinsoku/>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rPr>
        <w:t>项目建设与运行过程中，必须对照《报告表》中逐一落实各项环境保护对策措施，并重点做好以下工作</w:t>
      </w:r>
      <w:r>
        <w:rPr>
          <w:rFonts w:hint="eastAsia" w:ascii="仿宋_GB2312" w:hAnsi="仿宋_GB2312" w:eastAsia="仿宋_GB2312" w:cs="仿宋_GB2312"/>
          <w:kern w:val="2"/>
          <w:sz w:val="32"/>
          <w:szCs w:val="32"/>
          <w:lang w:eastAsia="zh-CN"/>
        </w:rPr>
        <w:t>：</w:t>
      </w:r>
    </w:p>
    <w:p w14:paraId="0C96646F">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10" w:leftChars="0" w:firstLine="640" w:firstLineChars="0"/>
        <w:textAlignment w:val="auto"/>
        <w:rPr>
          <w:rFonts w:hint="default" w:ascii="仿宋_GB2312" w:hAnsi="宋体" w:eastAsia="仿宋_GB2312" w:cs="仿宋_GB2312"/>
          <w:kern w:val="2"/>
          <w:sz w:val="32"/>
          <w:szCs w:val="32"/>
          <w:lang w:val="en-US" w:eastAsia="zh-CN"/>
        </w:rPr>
      </w:pPr>
      <w:r>
        <w:rPr>
          <w:rFonts w:hint="eastAsia" w:ascii="仿宋_GB2312" w:hAnsi="宋体" w:eastAsia="仿宋_GB2312" w:cs="仿宋_GB2312"/>
          <w:kern w:val="2"/>
          <w:sz w:val="32"/>
          <w:szCs w:val="32"/>
          <w:lang w:val="en-US" w:eastAsia="zh-CN"/>
        </w:rPr>
        <w:t>加强大气污染防治措施</w:t>
      </w:r>
    </w:p>
    <w:p w14:paraId="6459D92D">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eastAsia" w:ascii="仿宋_GB2312" w:hAnsi="宋体" w:eastAsia="仿宋_GB2312" w:cs="仿宋_GB2312"/>
          <w:kern w:val="2"/>
          <w:sz w:val="32"/>
          <w:szCs w:val="32"/>
          <w:lang w:val="en-US" w:eastAsia="zh-CN"/>
        </w:rPr>
      </w:pPr>
      <w:r>
        <w:rPr>
          <w:rFonts w:hint="eastAsia" w:ascii="仿宋_GB2312" w:hAnsi="宋体" w:eastAsia="仿宋_GB2312" w:cs="仿宋_GB2312"/>
          <w:kern w:val="2"/>
          <w:sz w:val="32"/>
          <w:szCs w:val="32"/>
          <w:lang w:val="en-US" w:eastAsia="zh-CN"/>
        </w:rPr>
        <w:t>严格落实建筑施工扬尘“六个百分之百”，施工工地百分百围挡，物料堆放百分百覆盖，出入车辆百分百冲洗，施工场地路面百分百硬化，工地百分百湿法作业，运输车辆百分百密闭。施工期间工地不能现场搅拌混凝土及进行砂浆拌和。施工机械和运输车辆尾气应达标排放。</w:t>
      </w:r>
    </w:p>
    <w:p w14:paraId="7385CEA5">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eastAsia" w:ascii="仿宋_GB2312" w:hAnsi="宋体" w:eastAsia="仿宋_GB2312" w:cs="仿宋_GB2312"/>
          <w:kern w:val="2"/>
          <w:sz w:val="32"/>
          <w:szCs w:val="32"/>
          <w:lang w:val="en-US" w:eastAsia="zh-CN"/>
        </w:rPr>
      </w:pPr>
      <w:r>
        <w:rPr>
          <w:rFonts w:hint="eastAsia" w:ascii="仿宋_GB2312" w:hAnsi="宋体" w:eastAsia="仿宋_GB2312" w:cs="仿宋_GB2312"/>
          <w:kern w:val="2"/>
          <w:sz w:val="32"/>
          <w:szCs w:val="32"/>
          <w:lang w:val="en-US" w:eastAsia="zh-CN"/>
        </w:rPr>
        <w:t>运营期间，厂房顶部配套建设覆盖全场的喷淋洒水装置及移动式雾炮机；砖瓦生产过程中原料破碎筛分、石灰加料筒仓等对应排放口主要采用脉冲布袋除尘器；隧道窑烟气主要采用“低氮燃烧+SNCR脱硝+石灰石膏法除硫+湿电除尘”对隧道窑烟气进行尾气治理；无组织排放颗粒物，应采用原料控制、燃料控制、制备与成型过程控制、厂区道路控制等措施。</w:t>
      </w:r>
    </w:p>
    <w:p w14:paraId="75038F0B">
      <w:pPr>
        <w:pStyle w:val="2"/>
        <w:keepNext w:val="0"/>
        <w:keepLines w:val="0"/>
        <w:pageBreakBefore w:val="0"/>
        <w:widowControl w:val="0"/>
        <w:numPr>
          <w:ilvl w:val="0"/>
          <w:numId w:val="2"/>
        </w:numPr>
        <w:kinsoku/>
        <w:wordWrap/>
        <w:overflowPunct/>
        <w:topLinePunct w:val="0"/>
        <w:autoSpaceDE/>
        <w:autoSpaceDN/>
        <w:bidi w:val="0"/>
        <w:adjustRightInd/>
        <w:snapToGrid/>
        <w:spacing w:beforeLines="0" w:after="0" w:afterLines="0" w:line="560" w:lineRule="exact"/>
        <w:ind w:left="-10" w:leftChars="0" w:firstLine="640" w:firstLineChars="0"/>
        <w:textAlignment w:val="auto"/>
        <w:rPr>
          <w:rFonts w:hint="eastAsia" w:ascii="仿宋_GB2312" w:hAnsi="宋体" w:eastAsia="仿宋_GB2312" w:cs="仿宋_GB2312"/>
          <w:kern w:val="2"/>
          <w:sz w:val="32"/>
          <w:szCs w:val="32"/>
          <w:lang w:val="en-US" w:eastAsia="zh-CN"/>
        </w:rPr>
      </w:pPr>
      <w:r>
        <w:rPr>
          <w:rFonts w:hint="eastAsia" w:ascii="仿宋_GB2312" w:hAnsi="宋体" w:eastAsia="仿宋_GB2312" w:cs="仿宋_GB2312"/>
          <w:kern w:val="2"/>
          <w:sz w:val="32"/>
          <w:szCs w:val="32"/>
          <w:lang w:val="en-US" w:eastAsia="zh-CN"/>
        </w:rPr>
        <w:t>认真落实废水污染防治措施</w:t>
      </w:r>
    </w:p>
    <w:p w14:paraId="571C166C">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eastAsia" w:ascii="仿宋_GB2312" w:hAnsi="宋体" w:eastAsia="仿宋_GB2312" w:cs="仿宋_GB2312"/>
          <w:kern w:val="2"/>
          <w:sz w:val="32"/>
          <w:szCs w:val="32"/>
          <w:lang w:val="en-US" w:eastAsia="zh-CN"/>
        </w:rPr>
      </w:pPr>
      <w:r>
        <w:rPr>
          <w:rFonts w:hint="eastAsia" w:ascii="仿宋_GB2312" w:hAnsi="宋体" w:eastAsia="仿宋_GB2312" w:cs="仿宋_GB2312"/>
          <w:kern w:val="2"/>
          <w:sz w:val="32"/>
          <w:szCs w:val="32"/>
          <w:lang w:val="en-US" w:eastAsia="zh-CN"/>
        </w:rPr>
        <w:t>施工期生产废水由施工现场设临时沉淀池收集后回用。生活污水不外排。</w:t>
      </w:r>
    </w:p>
    <w:p w14:paraId="2556DD22">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eastAsia" w:ascii="仿宋_GB2312" w:hAnsi="宋体" w:eastAsia="仿宋_GB2312" w:cs="仿宋_GB2312"/>
          <w:kern w:val="2"/>
          <w:sz w:val="32"/>
          <w:szCs w:val="32"/>
          <w:lang w:val="en-US" w:eastAsia="zh-CN"/>
        </w:rPr>
      </w:pPr>
      <w:r>
        <w:rPr>
          <w:rFonts w:hint="eastAsia" w:ascii="仿宋_GB2312" w:hAnsi="宋体" w:eastAsia="仿宋_GB2312" w:cs="仿宋_GB2312"/>
          <w:kern w:val="2"/>
          <w:sz w:val="32"/>
          <w:szCs w:val="32"/>
          <w:lang w:val="en-US" w:eastAsia="zh-CN"/>
        </w:rPr>
        <w:t>运营期生产废水经脱硫塔循环池沉淀处理后循环使用。生活污水经一体化地埋式污水处理装置处理。</w:t>
      </w:r>
    </w:p>
    <w:p w14:paraId="3CF90A91">
      <w:pPr>
        <w:pStyle w:val="2"/>
        <w:keepNext w:val="0"/>
        <w:keepLines w:val="0"/>
        <w:pageBreakBefore w:val="0"/>
        <w:widowControl w:val="0"/>
        <w:numPr>
          <w:ilvl w:val="0"/>
          <w:numId w:val="2"/>
        </w:numPr>
        <w:kinsoku/>
        <w:wordWrap/>
        <w:overflowPunct/>
        <w:topLinePunct w:val="0"/>
        <w:autoSpaceDE/>
        <w:autoSpaceDN/>
        <w:bidi w:val="0"/>
        <w:adjustRightInd/>
        <w:snapToGrid/>
        <w:spacing w:beforeLines="0" w:after="0" w:afterLines="0" w:line="560" w:lineRule="exact"/>
        <w:ind w:left="-10" w:leftChars="0" w:firstLine="640" w:firstLineChars="0"/>
        <w:textAlignment w:val="auto"/>
        <w:rPr>
          <w:rFonts w:hint="eastAsia" w:ascii="仿宋_GB2312" w:hAnsi="宋体" w:eastAsia="仿宋_GB2312" w:cs="仿宋_GB2312"/>
          <w:kern w:val="2"/>
          <w:sz w:val="32"/>
          <w:szCs w:val="32"/>
          <w:lang w:val="en-US" w:eastAsia="zh-CN"/>
        </w:rPr>
      </w:pPr>
      <w:r>
        <w:rPr>
          <w:rFonts w:hint="eastAsia" w:ascii="仿宋_GB2312" w:hAnsi="宋体" w:eastAsia="仿宋_GB2312" w:cs="仿宋_GB2312"/>
          <w:kern w:val="2"/>
          <w:sz w:val="32"/>
          <w:szCs w:val="32"/>
          <w:lang w:val="en-US" w:eastAsia="zh-CN"/>
        </w:rPr>
        <w:t>加强噪声污染防治措施</w:t>
      </w:r>
    </w:p>
    <w:p w14:paraId="40243E6B">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eastAsia" w:ascii="仿宋_GB2312" w:hAnsi="宋体" w:eastAsia="仿宋_GB2312" w:cs="仿宋_GB2312"/>
          <w:kern w:val="2"/>
          <w:sz w:val="32"/>
          <w:szCs w:val="32"/>
          <w:lang w:val="en-US" w:eastAsia="zh-CN"/>
        </w:rPr>
      </w:pPr>
      <w:r>
        <w:rPr>
          <w:rFonts w:hint="eastAsia" w:ascii="仿宋_GB2312" w:hAnsi="宋体" w:eastAsia="仿宋_GB2312" w:cs="仿宋_GB2312"/>
          <w:kern w:val="2"/>
          <w:sz w:val="32"/>
          <w:szCs w:val="32"/>
          <w:lang w:val="en-US" w:eastAsia="zh-CN"/>
        </w:rPr>
        <w:t>合理安排施工时间、施工阶段和工程进度，以最大限度地减少对环境、居民的影响。使用低噪声机械设备，并及时维修保养。防止高噪声设备同时进行施工。由于工艺或工程进度要求需在夜间施工时，需事先征得环保部门的同意，并竖立公告牌向新店镇居民说明情况。</w:t>
      </w:r>
    </w:p>
    <w:p w14:paraId="5D29E4A7">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eastAsia" w:ascii="仿宋_GB2312" w:hAnsi="宋体" w:eastAsia="仿宋_GB2312" w:cs="仿宋_GB2312"/>
          <w:kern w:val="2"/>
          <w:sz w:val="32"/>
          <w:szCs w:val="32"/>
          <w:lang w:val="en-US" w:eastAsia="zh-CN"/>
        </w:rPr>
      </w:pPr>
      <w:r>
        <w:rPr>
          <w:rFonts w:hint="eastAsia" w:ascii="仿宋_GB2312" w:hAnsi="宋体" w:eastAsia="仿宋_GB2312" w:cs="仿宋_GB2312"/>
          <w:kern w:val="2"/>
          <w:sz w:val="32"/>
          <w:szCs w:val="32"/>
          <w:lang w:val="en-US" w:eastAsia="zh-CN"/>
        </w:rPr>
        <w:t>运营期，选用高效低噪声性能设备，采用室内布置、基础减振、厂房隔声、设置隔声屏障等降噪措施。</w:t>
      </w:r>
    </w:p>
    <w:p w14:paraId="6F39D967">
      <w:pPr>
        <w:pStyle w:val="2"/>
        <w:keepNext w:val="0"/>
        <w:keepLines w:val="0"/>
        <w:pageBreakBefore w:val="0"/>
        <w:widowControl w:val="0"/>
        <w:numPr>
          <w:ilvl w:val="0"/>
          <w:numId w:val="2"/>
        </w:numPr>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仿宋_GB2312" w:hAnsi="宋体" w:eastAsia="仿宋_GB2312" w:cs="仿宋_GB2312"/>
          <w:kern w:val="2"/>
          <w:sz w:val="32"/>
          <w:szCs w:val="32"/>
          <w:lang w:val="en-US" w:eastAsia="zh-CN"/>
        </w:rPr>
      </w:pPr>
      <w:r>
        <w:rPr>
          <w:rFonts w:hint="eastAsia" w:ascii="仿宋_GB2312" w:hAnsi="宋体" w:eastAsia="仿宋_GB2312" w:cs="仿宋_GB2312"/>
          <w:kern w:val="2"/>
          <w:sz w:val="32"/>
          <w:szCs w:val="32"/>
          <w:lang w:val="en-US" w:eastAsia="zh-CN"/>
        </w:rPr>
        <w:t>严格落实固废污染防治措施</w:t>
      </w:r>
    </w:p>
    <w:p w14:paraId="0AD2547F">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eastAsia" w:ascii="仿宋_GB2312" w:hAnsi="宋体" w:eastAsia="仿宋_GB2312" w:cs="仿宋_GB2312"/>
          <w:kern w:val="2"/>
          <w:sz w:val="32"/>
          <w:szCs w:val="32"/>
          <w:lang w:val="en-US" w:eastAsia="zh-CN"/>
        </w:rPr>
      </w:pPr>
      <w:r>
        <w:rPr>
          <w:rFonts w:hint="eastAsia" w:ascii="仿宋_GB2312" w:hAnsi="宋体" w:eastAsia="仿宋_GB2312" w:cs="仿宋_GB2312"/>
          <w:kern w:val="2"/>
          <w:sz w:val="32"/>
          <w:szCs w:val="32"/>
          <w:lang w:val="en-US" w:eastAsia="zh-CN"/>
        </w:rPr>
        <w:t>施工期间产生的废材料等，由施工队妥善处理，及时清运；对于可回收利用的建筑材料外售废品回收公司，不可回收建筑垃圾送至环卫部门指定地点统一处理。生活垃圾集中收集由环卫部门统一处理。</w:t>
      </w:r>
    </w:p>
    <w:p w14:paraId="446E209F">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left="0" w:firstLine="640" w:firstLineChars="200"/>
        <w:textAlignment w:val="auto"/>
        <w:rPr>
          <w:rFonts w:hint="eastAsia" w:ascii="仿宋_GB2312" w:hAnsi="宋体" w:eastAsia="仿宋_GB2312" w:cs="仿宋_GB2312"/>
          <w:kern w:val="2"/>
          <w:sz w:val="32"/>
          <w:szCs w:val="32"/>
          <w:lang w:val="en-US" w:eastAsia="zh-CN"/>
        </w:rPr>
      </w:pPr>
      <w:r>
        <w:rPr>
          <w:rFonts w:hint="eastAsia" w:ascii="仿宋_GB2312" w:hAnsi="宋体" w:eastAsia="仿宋_GB2312" w:cs="仿宋_GB2312"/>
          <w:kern w:val="2"/>
          <w:sz w:val="32"/>
          <w:szCs w:val="32"/>
          <w:lang w:val="en-US" w:eastAsia="zh-CN"/>
        </w:rPr>
        <w:t>运营期，一般工业固废，暂存于原料库回用于生产；危险废物，暂存于危废暂存点，定期由有资质单位处置。</w:t>
      </w:r>
    </w:p>
    <w:p w14:paraId="426946CB">
      <w:pPr>
        <w:pStyle w:val="2"/>
        <w:keepNext w:val="0"/>
        <w:keepLines w:val="0"/>
        <w:pageBreakBefore w:val="0"/>
        <w:widowControl w:val="0"/>
        <w:numPr>
          <w:ilvl w:val="0"/>
          <w:numId w:val="2"/>
        </w:numPr>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仿宋_GB2312" w:hAnsi="宋体" w:eastAsia="仿宋_GB2312" w:cs="仿宋_GB2312"/>
          <w:kern w:val="2"/>
          <w:sz w:val="32"/>
          <w:szCs w:val="32"/>
          <w:lang w:val="en-US" w:eastAsia="zh-CN"/>
        </w:rPr>
      </w:pPr>
      <w:r>
        <w:rPr>
          <w:rFonts w:hint="eastAsia" w:ascii="仿宋_GB2312" w:hAnsi="宋体" w:eastAsia="仿宋_GB2312" w:cs="仿宋_GB2312"/>
          <w:kern w:val="2"/>
          <w:sz w:val="32"/>
          <w:szCs w:val="32"/>
          <w:lang w:val="en-US" w:eastAsia="zh-CN"/>
        </w:rPr>
        <w:t>加强社会环境防范措施</w:t>
      </w:r>
    </w:p>
    <w:p w14:paraId="7E99A95B">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left="0" w:firstLine="640" w:firstLineChars="200"/>
        <w:textAlignment w:val="auto"/>
        <w:rPr>
          <w:rFonts w:hint="eastAsia" w:ascii="仿宋_GB2312" w:hAnsi="宋体" w:eastAsia="仿宋_GB2312" w:cs="仿宋_GB2312"/>
          <w:kern w:val="2"/>
          <w:sz w:val="32"/>
          <w:szCs w:val="32"/>
          <w:lang w:val="en-US" w:eastAsia="zh-CN"/>
        </w:rPr>
      </w:pPr>
      <w:r>
        <w:rPr>
          <w:rFonts w:hint="eastAsia" w:ascii="仿宋_GB2312" w:hAnsi="宋体" w:eastAsia="仿宋_GB2312" w:cs="仿宋_GB2312"/>
          <w:kern w:val="2"/>
          <w:sz w:val="32"/>
          <w:szCs w:val="32"/>
          <w:lang w:val="en-US" w:eastAsia="zh-CN"/>
        </w:rPr>
        <w:t>施工时要减少对社会生活环境的影响。在施工现场安置告示牌，说明工程主要内容、施工时间等，敬请公众谅解由施工带来的不便，并在告示上注明联系人、投诉热线等。</w:t>
      </w:r>
    </w:p>
    <w:p w14:paraId="2F18CC68">
      <w:pPr>
        <w:pStyle w:val="2"/>
        <w:keepNext w:val="0"/>
        <w:keepLines w:val="0"/>
        <w:pageBreakBefore w:val="0"/>
        <w:widowControl w:val="0"/>
        <w:numPr>
          <w:ilvl w:val="0"/>
          <w:numId w:val="2"/>
        </w:numPr>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严格落实地下水及土壤污染防治措施</w:t>
      </w:r>
    </w:p>
    <w:p w14:paraId="4A8BE375">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eastAsia"/>
          <w:lang w:val="en-US" w:eastAsia="zh-CN"/>
        </w:rPr>
      </w:pPr>
      <w:r>
        <w:rPr>
          <w:rFonts w:hint="eastAsia" w:ascii="仿宋_GB2312" w:hAnsi="仿宋_GB2312" w:eastAsia="仿宋_GB2312" w:cs="仿宋_GB2312"/>
          <w:sz w:val="32"/>
          <w:szCs w:val="32"/>
          <w:lang w:val="en-US" w:eastAsia="zh-CN"/>
        </w:rPr>
        <w:t>重点防渗区采用防渗层为2mm厚的高密度聚乙烯</w:t>
      </w:r>
      <w:r>
        <w:rPr>
          <w:rFonts w:hint="eastAsia" w:ascii="仿宋_GB2312" w:hAnsi="仿宋_GB2312" w:eastAsia="仿宋_GB2312" w:cs="仿宋_GB2312"/>
          <w:sz w:val="32"/>
          <w:szCs w:val="32"/>
          <w:highlight w:val="none"/>
          <w:lang w:val="en-US" w:eastAsia="zh-CN"/>
        </w:rPr>
        <w:t>，渗透系数≤1×10</w:t>
      </w:r>
      <w:r>
        <w:rPr>
          <w:rFonts w:hint="eastAsia" w:ascii="仿宋_GB2312" w:hAnsi="仿宋_GB2312" w:eastAsia="仿宋_GB2312" w:cs="仿宋_GB2312"/>
          <w:sz w:val="32"/>
          <w:szCs w:val="32"/>
          <w:highlight w:val="none"/>
          <w:vertAlign w:val="superscript"/>
          <w:lang w:val="en-US" w:eastAsia="zh-CN"/>
        </w:rPr>
        <w:t>-12</w:t>
      </w:r>
      <w:r>
        <w:rPr>
          <w:rFonts w:hint="eastAsia" w:ascii="仿宋_GB2312" w:hAnsi="仿宋_GB2312" w:eastAsia="仿宋_GB2312" w:cs="仿宋_GB2312"/>
          <w:sz w:val="32"/>
          <w:szCs w:val="32"/>
          <w:highlight w:val="none"/>
          <w:lang w:val="en-US" w:eastAsia="zh-CN"/>
        </w:rPr>
        <w:t>cm/s，地面加覆0.5mm厚环氧树脂膜。一</w:t>
      </w:r>
      <w:r>
        <w:rPr>
          <w:rFonts w:hint="eastAsia" w:ascii="仿宋_GB2312" w:hAnsi="仿宋_GB2312" w:eastAsia="仿宋_GB2312" w:cs="仿宋_GB2312"/>
          <w:sz w:val="32"/>
          <w:szCs w:val="32"/>
          <w:lang w:val="en-US" w:eastAsia="zh-CN"/>
        </w:rPr>
        <w:t>般防渗区采取混凝土硬化，防渗层位至少1.5m厚的粘土层，可保证K≤1×10</w:t>
      </w:r>
      <w:r>
        <w:rPr>
          <w:rFonts w:hint="eastAsia" w:ascii="仿宋_GB2312" w:hAnsi="仿宋_GB2312" w:eastAsia="仿宋_GB2312" w:cs="仿宋_GB2312"/>
          <w:sz w:val="32"/>
          <w:szCs w:val="32"/>
          <w:vertAlign w:val="superscript"/>
          <w:lang w:val="en-US" w:eastAsia="zh-CN"/>
        </w:rPr>
        <w:t>-7</w:t>
      </w:r>
      <w:r>
        <w:rPr>
          <w:rFonts w:hint="eastAsia" w:ascii="仿宋_GB2312" w:hAnsi="仿宋_GB2312" w:eastAsia="仿宋_GB2312" w:cs="仿宋_GB2312"/>
          <w:sz w:val="32"/>
          <w:szCs w:val="32"/>
          <w:lang w:val="en-US" w:eastAsia="zh-CN"/>
        </w:rPr>
        <w:t>cm/s。简单防渗区利用一般混凝土硬化。</w:t>
      </w:r>
    </w:p>
    <w:p w14:paraId="26ADD40B">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eastAsia" w:ascii="仿宋_GB2312" w:hAnsi="宋体" w:eastAsia="仿宋_GB2312" w:cs="仿宋_GB2312"/>
          <w:kern w:val="2"/>
          <w:sz w:val="32"/>
          <w:szCs w:val="32"/>
          <w:lang w:val="en-US" w:eastAsia="zh-CN"/>
        </w:rPr>
      </w:pPr>
      <w:r>
        <w:rPr>
          <w:rFonts w:hint="eastAsia" w:ascii="仿宋_GB2312" w:hAnsi="宋体" w:eastAsia="仿宋_GB2312" w:cs="仿宋_GB2312"/>
          <w:kern w:val="2"/>
          <w:sz w:val="32"/>
          <w:szCs w:val="32"/>
          <w:lang w:val="en-US" w:eastAsia="zh-CN"/>
        </w:rPr>
        <w:t>（七）环境风险防范措施</w:t>
      </w:r>
    </w:p>
    <w:p w14:paraId="21CD9AAB">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eastAsia" w:ascii="仿宋_GB2312" w:hAnsi="宋体" w:eastAsia="仿宋_GB2312" w:cs="仿宋_GB2312"/>
          <w:kern w:val="2"/>
          <w:sz w:val="32"/>
          <w:szCs w:val="32"/>
          <w:lang w:val="en-US" w:eastAsia="zh-CN"/>
        </w:rPr>
      </w:pPr>
      <w:r>
        <w:rPr>
          <w:rFonts w:hint="eastAsia" w:ascii="仿宋_GB2312" w:hAnsi="宋体" w:eastAsia="仿宋_GB2312" w:cs="仿宋_GB2312"/>
          <w:kern w:val="2"/>
          <w:sz w:val="32"/>
          <w:szCs w:val="32"/>
          <w:lang w:val="en-US" w:eastAsia="zh-CN"/>
        </w:rPr>
        <w:t>按要求做好突发事故环境风险应急预案，并报当地环保部门备案，落实各项环境风险防范和处置措施；建立完善的安全管理制度等，确保事故状态下可控制对环境造成的不利影响。</w:t>
      </w:r>
    </w:p>
    <w:p w14:paraId="598DD7BD">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default"/>
          <w:lang w:val="en-US" w:eastAsia="zh-CN"/>
        </w:rPr>
      </w:pPr>
      <w:r>
        <w:rPr>
          <w:rFonts w:hint="eastAsia" w:ascii="仿宋_GB2312" w:hAnsi="宋体" w:eastAsia="仿宋_GB2312" w:cs="仿宋_GB2312"/>
          <w:kern w:val="2"/>
          <w:sz w:val="32"/>
          <w:szCs w:val="32"/>
          <w:lang w:val="en-US" w:eastAsia="zh-CN"/>
        </w:rPr>
        <w:t>（八）</w:t>
      </w:r>
      <w:r>
        <w:rPr>
          <w:rFonts w:hint="default" w:ascii="仿宋_GB2312" w:hAnsi="宋体" w:eastAsia="仿宋_GB2312" w:cs="仿宋_GB2312"/>
          <w:kern w:val="2"/>
          <w:sz w:val="32"/>
          <w:szCs w:val="32"/>
          <w:lang w:val="en-US" w:eastAsia="zh-CN" w:bidi="ar-SA"/>
        </w:rPr>
        <w:t>按照相关法律法规，依法办理其他相关手续，未经批准，不得开工建设。</w:t>
      </w:r>
    </w:p>
    <w:p w14:paraId="76B7F5AD">
      <w:pPr>
        <w:pStyle w:val="2"/>
        <w:keepNext w:val="0"/>
        <w:keepLines w:val="0"/>
        <w:pageBreakBefore w:val="0"/>
        <w:widowControl w:val="0"/>
        <w:kinsoku/>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三、本批复内容以《报告表》为依据，项目的性质、规模、地点、采用的生产工艺或者防治污染、防止生态破坏的措施发生重大变动的，你单位应当重新报批建设项目环境影响评价文件。</w:t>
      </w:r>
    </w:p>
    <w:p w14:paraId="55A51EFD">
      <w:pPr>
        <w:pStyle w:val="2"/>
        <w:keepNext w:val="0"/>
        <w:keepLines w:val="0"/>
        <w:pageBreakBefore w:val="0"/>
        <w:widowControl w:val="0"/>
        <w:kinsoku/>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四、项目实施必须严格执行配套建设的环境保护设施与主体</w:t>
      </w:r>
    </w:p>
    <w:p w14:paraId="7F4D6F3F">
      <w:pPr>
        <w:pStyle w:val="2"/>
        <w:keepNext w:val="0"/>
        <w:keepLines w:val="0"/>
        <w:pageBreakBefore w:val="0"/>
        <w:widowControl w:val="0"/>
        <w:kinsoku/>
        <w:overflowPunct/>
        <w:topLinePunct w:val="0"/>
        <w:autoSpaceDE/>
        <w:autoSpaceDN/>
        <w:bidi w:val="0"/>
        <w:adjustRightInd/>
        <w:snapToGrid/>
        <w:spacing w:beforeLines="0" w:after="0" w:afterLines="0" w:line="560" w:lineRule="exact"/>
        <w:ind w:left="0" w:leftChars="0" w:firstLine="0" w:firstLineChars="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工程同时设计、同时施工、同时投产使用的环境保护“三同时”制度。工程建成后须按规定程序实施竣工环境保护验收。</w:t>
      </w:r>
    </w:p>
    <w:p w14:paraId="614BE6DD">
      <w:pPr>
        <w:pStyle w:val="2"/>
        <w:keepNext w:val="0"/>
        <w:keepLines w:val="0"/>
        <w:pageBreakBefore w:val="0"/>
        <w:widowControl w:val="0"/>
        <w:kinsoku/>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五、长治市生态环境局沁县分局负责该项目的环境保护现场监督检查和监督管理工作。</w:t>
      </w:r>
    </w:p>
    <w:p w14:paraId="3BB7A304">
      <w:pPr>
        <w:pStyle w:val="2"/>
        <w:keepNext w:val="0"/>
        <w:keepLines w:val="0"/>
        <w:pageBreakBefore w:val="0"/>
        <w:widowControl w:val="0"/>
        <w:kinsoku/>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六、你单位应在收到本批复后20个工作日内，将批准后的</w:t>
      </w:r>
    </w:p>
    <w:p w14:paraId="77203781">
      <w:pPr>
        <w:pStyle w:val="2"/>
        <w:keepNext w:val="0"/>
        <w:keepLines w:val="0"/>
        <w:pageBreakBefore w:val="0"/>
        <w:widowControl w:val="0"/>
        <w:kinsoku/>
        <w:overflowPunct/>
        <w:topLinePunct w:val="0"/>
        <w:autoSpaceDE/>
        <w:autoSpaceDN/>
        <w:bidi w:val="0"/>
        <w:adjustRightInd/>
        <w:snapToGrid/>
        <w:spacing w:beforeLines="0" w:after="0" w:afterLines="0" w:line="560" w:lineRule="exact"/>
        <w:ind w:left="0" w:leftChars="0" w:firstLine="0" w:firstLineChars="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环评文件送至长治市生态环境局沁县分局，并按规定接受各级环</w:t>
      </w:r>
    </w:p>
    <w:p w14:paraId="2A2A812E">
      <w:pPr>
        <w:pStyle w:val="2"/>
        <w:keepNext w:val="0"/>
        <w:keepLines w:val="0"/>
        <w:pageBreakBefore w:val="0"/>
        <w:widowControl w:val="0"/>
        <w:kinsoku/>
        <w:overflowPunct/>
        <w:topLinePunct w:val="0"/>
        <w:autoSpaceDE/>
        <w:autoSpaceDN/>
        <w:bidi w:val="0"/>
        <w:adjustRightInd/>
        <w:snapToGrid/>
        <w:spacing w:beforeLines="0" w:after="0" w:afterLines="0" w:line="560" w:lineRule="exact"/>
        <w:ind w:left="0" w:leftChars="0" w:firstLine="0" w:firstLineChars="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境保护行政主管部门的日常监督检查。</w:t>
      </w:r>
    </w:p>
    <w:p w14:paraId="723526D2">
      <w:pPr>
        <w:keepNext w:val="0"/>
        <w:keepLines w:val="0"/>
        <w:pageBreakBefore w:val="0"/>
        <w:widowControl w:val="0"/>
        <w:kinsoku/>
        <w:overflowPunct/>
        <w:topLinePunct w:val="0"/>
        <w:autoSpaceDE/>
        <w:autoSpaceDN/>
        <w:bidi w:val="0"/>
        <w:adjustRightInd/>
        <w:snapToGrid/>
        <w:spacing w:line="560" w:lineRule="exact"/>
        <w:ind w:left="0" w:leftChars="0"/>
        <w:textAlignment w:val="auto"/>
        <w:rPr>
          <w:rFonts w:hint="default" w:ascii="仿宋_GB2312" w:hAnsi="宋体" w:eastAsia="仿宋_GB2312" w:cs="仿宋_GB2312"/>
          <w:kern w:val="2"/>
          <w:sz w:val="32"/>
          <w:szCs w:val="32"/>
          <w:lang w:val="en-US" w:eastAsia="zh-CN" w:bidi="ar-SA"/>
        </w:rPr>
      </w:pPr>
    </w:p>
    <w:p w14:paraId="26EA3218">
      <w:pPr>
        <w:pStyle w:val="2"/>
        <w:keepNext w:val="0"/>
        <w:keepLines w:val="0"/>
        <w:pageBreakBefore w:val="0"/>
        <w:widowControl w:val="0"/>
        <w:kinsoku/>
        <w:overflowPunct/>
        <w:topLinePunct w:val="0"/>
        <w:autoSpaceDE/>
        <w:autoSpaceDN/>
        <w:bidi w:val="0"/>
        <w:adjustRightInd/>
        <w:snapToGrid/>
        <w:spacing w:beforeLines="0" w:after="0" w:afterLines="0" w:line="560" w:lineRule="exact"/>
        <w:ind w:left="0" w:leftChars="0"/>
        <w:textAlignment w:val="auto"/>
        <w:rPr>
          <w:rFonts w:hint="default" w:ascii="仿宋_GB2312" w:hAnsi="宋体" w:eastAsia="仿宋_GB2312" w:cs="仿宋_GB2312"/>
          <w:kern w:val="2"/>
          <w:sz w:val="32"/>
          <w:szCs w:val="32"/>
          <w:lang w:val="en-US" w:eastAsia="zh-CN" w:bidi="ar-SA"/>
        </w:rPr>
      </w:pPr>
    </w:p>
    <w:p w14:paraId="53632571">
      <w:pPr>
        <w:keepNext w:val="0"/>
        <w:keepLines w:val="0"/>
        <w:pageBreakBefore w:val="0"/>
        <w:widowControl w:val="0"/>
        <w:kinsoku/>
        <w:overflowPunct/>
        <w:topLinePunct w:val="0"/>
        <w:autoSpaceDE/>
        <w:autoSpaceDN/>
        <w:bidi w:val="0"/>
        <w:adjustRightInd/>
        <w:snapToGrid/>
        <w:spacing w:line="560" w:lineRule="exact"/>
        <w:ind w:left="0" w:leftChars="0"/>
        <w:textAlignment w:val="auto"/>
        <w:rPr>
          <w:rFonts w:hint="eastAsia" w:ascii="仿宋_GB2312" w:hAnsi="宋体" w:eastAsia="仿宋_GB2312" w:cs="仿宋_GB2312"/>
          <w:kern w:val="2"/>
          <w:sz w:val="32"/>
          <w:szCs w:val="32"/>
          <w:lang w:val="en-US" w:eastAsia="zh-CN" w:bidi="ar-SA"/>
        </w:rPr>
      </w:pPr>
      <w:r>
        <w:rPr>
          <w:rFonts w:hint="eastAsia" w:ascii="仿宋_GB2312" w:hAnsi="宋体" w:eastAsia="仿宋_GB2312" w:cs="仿宋_GB2312"/>
          <w:kern w:val="2"/>
          <w:sz w:val="32"/>
          <w:szCs w:val="32"/>
          <w:lang w:val="en-US" w:eastAsia="zh-CN" w:bidi="ar-SA"/>
        </w:rPr>
        <w:t xml:space="preserve">                            沁县行政审批服务管理局</w:t>
      </w:r>
    </w:p>
    <w:p w14:paraId="3DC6242B">
      <w:pPr>
        <w:pStyle w:val="2"/>
        <w:keepNext w:val="0"/>
        <w:keepLines w:val="0"/>
        <w:pageBreakBefore w:val="0"/>
        <w:widowControl w:val="0"/>
        <w:kinsoku/>
        <w:overflowPunct/>
        <w:topLinePunct w:val="0"/>
        <w:autoSpaceDE/>
        <w:autoSpaceDN/>
        <w:bidi w:val="0"/>
        <w:adjustRightInd/>
        <w:snapToGrid/>
        <w:spacing w:beforeLines="0" w:after="0" w:afterLines="0" w:line="560" w:lineRule="exact"/>
        <w:ind w:left="0" w:leftChars="0"/>
        <w:textAlignment w:val="auto"/>
        <w:rPr>
          <w:rFonts w:hint="default"/>
          <w:lang w:val="en-US" w:eastAsia="zh-CN"/>
        </w:rPr>
      </w:pPr>
      <w:r>
        <w:rPr>
          <w:rFonts w:hint="eastAsia" w:ascii="仿宋_GB2312" w:hAnsi="宋体" w:eastAsia="仿宋_GB2312" w:cs="仿宋_GB2312"/>
          <w:kern w:val="2"/>
          <w:sz w:val="32"/>
          <w:szCs w:val="32"/>
          <w:lang w:val="en-US" w:eastAsia="zh-CN" w:bidi="ar-SA"/>
        </w:rPr>
        <w:t xml:space="preserve">                            2026年9月24日</w:t>
      </w:r>
    </w:p>
    <w:p w14:paraId="15B632DC">
      <w:pPr>
        <w:pStyle w:val="2"/>
        <w:keepNext w:val="0"/>
        <w:keepLines w:val="0"/>
        <w:pageBreakBefore w:val="0"/>
        <w:widowControl w:val="0"/>
        <w:kinsoku/>
        <w:overflowPunct/>
        <w:topLinePunct w:val="0"/>
        <w:autoSpaceDE/>
        <w:autoSpaceDN/>
        <w:bidi w:val="0"/>
        <w:adjustRightInd/>
        <w:snapToGrid/>
        <w:spacing w:beforeLines="0" w:after="0" w:afterLines="0" w:line="560" w:lineRule="exact"/>
        <w:ind w:left="0" w:leftChars="0"/>
        <w:textAlignment w:val="auto"/>
        <w:rPr>
          <w:rFonts w:hint="default"/>
          <w:lang w:val="en-US" w:eastAsia="zh-CN"/>
        </w:rPr>
      </w:pPr>
      <w:bookmarkStart w:id="0" w:name="_GoBack"/>
      <w:bookmarkEnd w:id="0"/>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5F"/>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86D70C"/>
    <w:multiLevelType w:val="singleLevel"/>
    <w:tmpl w:val="8486D70C"/>
    <w:lvl w:ilvl="0" w:tentative="0">
      <w:start w:val="2"/>
      <w:numFmt w:val="chineseCounting"/>
      <w:suff w:val="nothing"/>
      <w:lvlText w:val="%1、"/>
      <w:lvlJc w:val="left"/>
      <w:rPr>
        <w:rFonts w:hint="eastAsia"/>
      </w:rPr>
    </w:lvl>
  </w:abstractNum>
  <w:abstractNum w:abstractNumId="1">
    <w:nsid w:val="D80E63EB"/>
    <w:multiLevelType w:val="singleLevel"/>
    <w:tmpl w:val="D80E63EB"/>
    <w:lvl w:ilvl="0" w:tentative="0">
      <w:start w:val="1"/>
      <w:numFmt w:val="chineseCounting"/>
      <w:suff w:val="nothing"/>
      <w:lvlText w:val="（%1）"/>
      <w:lvlJc w:val="left"/>
      <w:pPr>
        <w:ind w:left="-1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C44998"/>
    <w:rsid w:val="04CC1D57"/>
    <w:rsid w:val="056F72B2"/>
    <w:rsid w:val="08D76E2C"/>
    <w:rsid w:val="092C1016"/>
    <w:rsid w:val="0AFC16BE"/>
    <w:rsid w:val="0D3D6FA2"/>
    <w:rsid w:val="10572E1C"/>
    <w:rsid w:val="13D03611"/>
    <w:rsid w:val="13E175CD"/>
    <w:rsid w:val="15D808E8"/>
    <w:rsid w:val="16B8213B"/>
    <w:rsid w:val="1AB61F3D"/>
    <w:rsid w:val="1E7D7EF2"/>
    <w:rsid w:val="1F0A5310"/>
    <w:rsid w:val="2210107D"/>
    <w:rsid w:val="243629EF"/>
    <w:rsid w:val="25EB1DF5"/>
    <w:rsid w:val="2A0616E3"/>
    <w:rsid w:val="2A2C0A1E"/>
    <w:rsid w:val="2A5D507B"/>
    <w:rsid w:val="2B0F45C8"/>
    <w:rsid w:val="2D5E5392"/>
    <w:rsid w:val="2EB3170E"/>
    <w:rsid w:val="34632C21"/>
    <w:rsid w:val="34D26EC9"/>
    <w:rsid w:val="35410F07"/>
    <w:rsid w:val="36455341"/>
    <w:rsid w:val="36541A28"/>
    <w:rsid w:val="36D84407"/>
    <w:rsid w:val="3764396F"/>
    <w:rsid w:val="37A10C9D"/>
    <w:rsid w:val="385C2E16"/>
    <w:rsid w:val="3F8D2662"/>
    <w:rsid w:val="409F1AF2"/>
    <w:rsid w:val="40A31FB7"/>
    <w:rsid w:val="45BE11FB"/>
    <w:rsid w:val="45CF3374"/>
    <w:rsid w:val="45EE0D78"/>
    <w:rsid w:val="4A331C29"/>
    <w:rsid w:val="4C343A36"/>
    <w:rsid w:val="4C8D3147"/>
    <w:rsid w:val="4C983FC5"/>
    <w:rsid w:val="4EC245E1"/>
    <w:rsid w:val="4F9A0054"/>
    <w:rsid w:val="4FA057AF"/>
    <w:rsid w:val="5314767D"/>
    <w:rsid w:val="534106E2"/>
    <w:rsid w:val="56A45C5C"/>
    <w:rsid w:val="56D51DDC"/>
    <w:rsid w:val="5E015742"/>
    <w:rsid w:val="6333639E"/>
    <w:rsid w:val="635428CA"/>
    <w:rsid w:val="638C2614"/>
    <w:rsid w:val="643B19AE"/>
    <w:rsid w:val="659B2C24"/>
    <w:rsid w:val="66B6356E"/>
    <w:rsid w:val="6703252B"/>
    <w:rsid w:val="678371C8"/>
    <w:rsid w:val="6949691B"/>
    <w:rsid w:val="6B3C4E6E"/>
    <w:rsid w:val="6C197B1D"/>
    <w:rsid w:val="6E867CCA"/>
    <w:rsid w:val="6F054ACB"/>
    <w:rsid w:val="7231619E"/>
    <w:rsid w:val="73487C44"/>
    <w:rsid w:val="75175B20"/>
    <w:rsid w:val="7693567A"/>
    <w:rsid w:val="773D67BB"/>
    <w:rsid w:val="7A951295"/>
    <w:rsid w:val="7CE24C65"/>
    <w:rsid w:val="7D38793B"/>
    <w:rsid w:val="7F4F235A"/>
    <w:rsid w:val="FFF311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0"/>
    <w:pPr>
      <w:spacing w:beforeLines="0" w:afterLines="0" w:line="360" w:lineRule="auto"/>
      <w:ind w:firstLine="420" w:firstLineChars="200"/>
      <w:jc w:val="left"/>
    </w:pPr>
    <w:rPr>
      <w:rFonts w:hint="default" w:ascii="Times New Roman" w:hAnsi="Times New Roman" w:eastAsia="宋体"/>
      <w:kern w:val="2"/>
      <w:sz w:val="24"/>
      <w:szCs w:val="24"/>
    </w:rPr>
  </w:style>
  <w:style w:type="paragraph" w:styleId="3">
    <w:name w:val="Body Text Indent"/>
    <w:basedOn w:val="1"/>
    <w:next w:val="4"/>
    <w:unhideWhenUsed/>
    <w:qFormat/>
    <w:uiPriority w:val="0"/>
    <w:pPr>
      <w:spacing w:beforeLines="0" w:after="120" w:afterLines="0"/>
      <w:ind w:left="420" w:leftChars="200"/>
    </w:pPr>
    <w:rPr>
      <w:rFonts w:hint="default"/>
      <w:kern w:val="0"/>
      <w:sz w:val="24"/>
      <w:szCs w:val="24"/>
    </w:rPr>
  </w:style>
  <w:style w:type="paragraph" w:styleId="4">
    <w:name w:val="header"/>
    <w:basedOn w:val="1"/>
    <w:unhideWhenUsed/>
    <w:qFormat/>
    <w:uiPriority w:val="0"/>
    <w:pPr>
      <w:pBdr>
        <w:bottom w:val="single" w:color="auto" w:sz="6" w:space="1"/>
      </w:pBdr>
      <w:tabs>
        <w:tab w:val="center" w:pos="4153"/>
        <w:tab w:val="right" w:pos="8306"/>
      </w:tabs>
      <w:snapToGrid w:val="0"/>
      <w:spacing w:beforeLines="0" w:afterLines="0"/>
      <w:jc w:val="center"/>
    </w:pPr>
    <w:rPr>
      <w:rFonts w:hint="default"/>
      <w:kern w:val="0"/>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ded59e0e-23b0-440b-9f78-bd5df6fc07e7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4A8BE375</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a8b89f9d-4f0c-40e6-a4cd-9ba162cca350}">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1705</Words>
  <Characters>1774</Characters>
  <Lines>1</Lines>
  <Paragraphs>1</Paragraphs>
  <TotalTime>91</TotalTime>
  <ScaleCrop>false</ScaleCrop>
  <LinksUpToDate>false</LinksUpToDate>
  <CharactersWithSpaces>1834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2026-05-09T10:30:00Z</dcterms:created>
  <dc:creator>梅@</dc:creator>
  <cp:lastModifiedBy></cp:lastModifiedBy>
  <cp:lastPrinted>2026-09-23T15:55:00Z</cp:lastPrinted>
  <dcterms:modified xsi:type="dcterms:W3CDTF">2026-09-24T15:31:37Z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6D6D711527B14F83BB8E6F28BA0A4B0D_13</vt:lpwstr>
  </property>
  <property fmtid="{D5CDD505-2E9C-101B-9397-08002B2CF9AE}" pid="4" name="KSOTemplateDocerSaveRecord">
    <vt:lpwstr>eyJoZGlkIjoiMTg4YzAwY2ZmYTFiMTdmMmU1N2QzYTQ0ZjkwOGI5MmMiLCJ1c2VySWQiOiI1ODM4MjYzODIifQ==</vt:lpwstr>
  </property>
</Properties>
</file>