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2024年巩固脱贫攻坚成果衔接乡村振兴项目库建设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山西省乡村振兴局《关于组织开展2024年度县级巩固拓展脱贫攻坚成果和乡村振兴项目库储备工作的通知》（晋乡振发函〔2023〕66号）精神，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规范项目管理，完善202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县级巩固拓展脱贫攻坚成果项目库，从根本上解决“资金等项目”问题，结合我县巩固拓展脱贫攻坚成果和乡村振兴规划，围绕巩固拓展脱贫攻坚成果和乡村振兴需求，把资金重点用于培育和壮大特色优势产业，兼顾提高农村低收入人口自我发展能力、抵御风险能力等方面，经领导组审定，确定了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年度巩固拓展脱贫攻坚成果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衔接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乡村振兴入库项目。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年度巩固拓展脱贫攻坚成果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衔接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乡村振兴入库项目涉及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个乡镇，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218个村。总共463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个项目，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预算总投资30467.353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大致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涉及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三大类，即：基础设施建设类、产业发展类、到户补助类。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一、产业发展类255个，预算总投资20911.69万元。占所有项目投入的68.7%。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二、基础设施类201个，预算总投资8185.163万元。占所有项目投入的26.9%。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三、教育帮扶类3个，预算总投资430.5万元。占所有项目投入的1.5%。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四、就业帮扶类1个，预算总投资500万元。占所有项目投入的1.6%。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五、易地扶贫搬迁后续扶持项目1个380万元。占所有项目投入的1.2%。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六、其他项目1个（项目管理费）预算资金60万元。占所有项目投入的0.1%。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附:2024年巩固拓展脱贫攻坚成果有效衔接乡村振兴储备项目汇总表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059" w:firstLineChars="331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059" w:firstLineChars="331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059" w:firstLineChars="331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 xml:space="preserve"> 沁县巩固拓展脱贫攻坚成果有效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059" w:firstLineChars="331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 xml:space="preserve">   衔接乡村振兴工作领导小组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2022年11月25日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A2DC5"/>
    <w:rsid w:val="15327CA7"/>
    <w:rsid w:val="1FE63BF9"/>
    <w:rsid w:val="522C1452"/>
    <w:rsid w:val="7DE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2023-11-25T03:54:00Z</dcterms:created>
  <dc:creator>zh</dc:creator>
  <cp:lastModifiedBy>zh</cp:lastModifiedBy>
  <dcterms:modified xsi:type="dcterms:W3CDTF">2023-11-26T04:11:32Z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