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3D06C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 w14:paraId="3536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信息系统用户账号管理办法</w:t>
      </w:r>
    </w:p>
    <w:p w14:paraId="2891A0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/>
          <w:lang w:eastAsia="zh-CN"/>
        </w:rPr>
      </w:pPr>
    </w:p>
    <w:p w14:paraId="2758FB5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总则</w:t>
      </w:r>
    </w:p>
    <w:p w14:paraId="3F63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eastAsia="zh-CN"/>
        </w:rPr>
      </w:pPr>
    </w:p>
    <w:p w14:paraId="003E782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山西省人力资源和社会保障业务系统安全运行维护管理办法（试行）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晋人社办发〔2022〕21号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规范相关人员的管理和操作行为，确保业务系统的安全性、稳定性、可用性，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就业社保服务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信息系统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应用实际，制定本办法。</w:t>
      </w:r>
    </w:p>
    <w:p w14:paraId="1563739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就业社保服务信息系统（也称“就近办”平台）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是指依托人社公共服务平台，供乡镇（街道）、社区（村）（以下简称“基层组织”）和合作银行网点工作人员使用，为群众办理有关服务事项的信息系统。</w:t>
      </w:r>
    </w:p>
    <w:p w14:paraId="44FCA4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DBF1C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岗位职责</w:t>
      </w:r>
    </w:p>
    <w:p w14:paraId="4318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2A8B6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省级、县级人社部门设置系统管理员、业务管理员</w:t>
      </w:r>
      <w:r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系统管理员、业务管理员应由正式在编人员担任，严禁一人兼任两个岗位。乡镇（街道）、行政村（社区）设置业务操作员。</w:t>
      </w:r>
    </w:p>
    <w:p w14:paraId="6A8168B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系统管理员职责</w:t>
      </w:r>
    </w:p>
    <w:p w14:paraId="210D9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省级系统管理员负责创建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（变更）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县级系统管理员、业务管理员账号。</w:t>
      </w:r>
    </w:p>
    <w:p w14:paraId="0643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县级系统管理员负责创建（变更）所辖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乡镇（街道）、行政村（社区）业务操作员账号，进行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账号的有效性管理。</w:t>
      </w:r>
    </w:p>
    <w:p w14:paraId="695E6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系统管理员应根据申请，及时注销未在岗和离岗人员的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。系统管理员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不能有业务经办和审核权限。</w:t>
      </w:r>
    </w:p>
    <w:p w14:paraId="578FE1C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业务管理员职责</w:t>
      </w:r>
    </w:p>
    <w:p w14:paraId="5759F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省级业务管理员负责对县级系统管理员、业务管理员账号进行角色关联。</w:t>
      </w:r>
    </w:p>
    <w:p w14:paraId="6ADBF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县级业务管理员负责对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业务操作员账号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进行角色关联和赋权限。</w:t>
      </w:r>
    </w:p>
    <w:p w14:paraId="7A2F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业务管理员应对权限申请信息进行核对，设置最小必须权限，及时清理多余、闲置账号的权限。业务管理员不能有业务经办和审核权限。</w:t>
      </w:r>
    </w:p>
    <w:p w14:paraId="75D3A93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业务操作员职责</w:t>
      </w:r>
    </w:p>
    <w:p w14:paraId="60A7FCB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业务操作员是各乡镇（街道）、行政村（社区）指定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的工作人员，负责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就业社保业务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6045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业务操作员对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账号下办理的所有业务操作负责。业务操作员应遵守保密原则，禁止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将账号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信息向任何第三方泄露或公开，一旦发生账号泄漏，应及时向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系统管理员报告，进行账号冻结。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业务操作员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妥善保管自己的系统账号，在个人离开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时，要及时退出系统账户。</w:t>
      </w:r>
    </w:p>
    <w:p w14:paraId="229D6B0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系统账号和权限设置原则</w:t>
      </w:r>
    </w:p>
    <w:p w14:paraId="526922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系统账号采用实名制管理，申请时需明确人员姓名、身份证号、联系电话。</w:t>
      </w:r>
    </w:p>
    <w:p w14:paraId="25A11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（二）各级系统管理员、业务管理员和业务操作员须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通过电子社保卡扫码登录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信息系统办理业务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CD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4"/>
          <w:szCs w:val="32"/>
        </w:rPr>
      </w:pPr>
    </w:p>
    <w:p w14:paraId="04BE2E5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系统账号和权限申请流程</w:t>
      </w:r>
    </w:p>
    <w:p w14:paraId="15DA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 w14:paraId="04D0FEE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如因新增工作人员需创建账号、岗位变动或离职等原因需变更权限或注销账号的，应由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所在单位（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提出账号权限申请、变更需求，按照以下流程申请：</w:t>
      </w:r>
    </w:p>
    <w:p w14:paraId="0D20A94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系统管理员、业务管理员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账号申请（变更）流程。</w:t>
      </w:r>
    </w:p>
    <w:p w14:paraId="2BA4C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县级人社部门填写《用户申请（变更）表》（见附件）将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系统管理员、业务管理员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（各1名）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有关信息报送至市级人社部门，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由市级人社部门汇总后统一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报送至省就业社保服务社区村村全覆盖工作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领导小组办公室，由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省级系统管理员、业务管理员按照申请为县级人社部门建立系统管理员、业务管理员账号和配置权限，完成后及时通知申请人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，并将《用户申请（变更单）》存档。</w:t>
      </w:r>
    </w:p>
    <w:p w14:paraId="4E5FE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业务操作员账号申请（变更）流程。</w:t>
      </w:r>
    </w:p>
    <w:p w14:paraId="5598F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乡镇（街道）、行政村（社区）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等基层组织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填写《用户申请（变更）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向所属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县级人社部门审核同意后，由县级系统管理员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按照申请分别创建（变更）</w:t>
      </w:r>
      <w:r>
        <w:rPr>
          <w:rFonts w:hint="eastAsia" w:ascii="仿宋_GB2312" w:hAnsi="仿宋_GB2312" w:eastAsia="仿宋_GB2312" w:cs="仿宋_GB2312"/>
          <w:sz w:val="32"/>
          <w:szCs w:val="32"/>
        </w:rPr>
        <w:t>账号和权限，完成后及时通知申请人，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并将《用户申请（变更单）》存档，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定期报送至市级人社部门备案。</w:t>
      </w:r>
    </w:p>
    <w:p w14:paraId="1D1D6F8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系统管理员、业务管理员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离开原工作岗位的，应按规定移交全部资料文档，及时申请注销其账号并做好相关记录。</w:t>
      </w:r>
    </w:p>
    <w:p w14:paraId="455BBE4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基层组织应对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基层服务点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工作人员的系统账号进行动态管理，人员发生变动时，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及时提交账号变更申请。</w:t>
      </w:r>
    </w:p>
    <w:p w14:paraId="16AF639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级人社部门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应至少每月进行一次账号状态核查，及时申请注销业务系统中多余、闲置和非法的账号，确保人员账号有且仅有其履行工作职责所必须的权限。信息系统将对超期3个月未登录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信息系统的账号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进行锁定。</w:t>
      </w:r>
    </w:p>
    <w:p w14:paraId="595586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4"/>
          <w:szCs w:val="40"/>
        </w:rPr>
      </w:pPr>
    </w:p>
    <w:p w14:paraId="738EC26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附则</w:t>
      </w:r>
    </w:p>
    <w:p w14:paraId="5244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36"/>
          <w:lang w:eastAsia="zh-CN"/>
        </w:rPr>
      </w:pPr>
    </w:p>
    <w:p w14:paraId="4A62EA6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其他事项严格按照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山西省人力资源和社会保障业务系统安全运行维护管理办法（试行）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晋人社办发〔2022〕21号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）执行。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本办法自发布之日起施行。</w:t>
      </w:r>
    </w:p>
    <w:p w14:paraId="5998C1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561511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40A346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18BFDA7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31C8D9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5D3C97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p w14:paraId="7058ECAC"/>
    <w:p w14:paraId="73EA9BD3">
      <w:pPr>
        <w:widowControl/>
        <w:jc w:val="left"/>
        <w:rPr>
          <w:rFonts w:ascii="仿宋_GB2312" w:eastAsia="仿宋_GB2312"/>
          <w:szCs w:val="21"/>
        </w:rPr>
      </w:pPr>
    </w:p>
    <w:p w14:paraId="26C7FC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用户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申请（变更）单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080"/>
        <w:gridCol w:w="1701"/>
        <w:gridCol w:w="2835"/>
      </w:tblGrid>
      <w:tr w14:paraId="7DDD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1" w:type="dxa"/>
            <w:noWrap w:val="0"/>
            <w:vAlign w:val="center"/>
          </w:tcPr>
          <w:p w14:paraId="4AAE9F45"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bCs/>
                <w:sz w:val="24"/>
                <w:szCs w:val="24"/>
              </w:rPr>
              <w:t>系统名称</w:t>
            </w:r>
          </w:p>
        </w:tc>
        <w:tc>
          <w:tcPr>
            <w:tcW w:w="3080" w:type="dxa"/>
            <w:noWrap w:val="0"/>
            <w:vAlign w:val="center"/>
          </w:tcPr>
          <w:p w14:paraId="71AE8081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F0647D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bCs/>
                <w:sz w:val="24"/>
                <w:szCs w:val="24"/>
              </w:rPr>
              <w:t>申请单编号</w:t>
            </w:r>
          </w:p>
        </w:tc>
        <w:tc>
          <w:tcPr>
            <w:tcW w:w="2835" w:type="dxa"/>
            <w:noWrap w:val="0"/>
            <w:vAlign w:val="center"/>
          </w:tcPr>
          <w:p w14:paraId="132964F5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5C5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1" w:type="dxa"/>
            <w:noWrap w:val="0"/>
            <w:vAlign w:val="center"/>
          </w:tcPr>
          <w:p w14:paraId="13BCC052"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3080" w:type="dxa"/>
            <w:noWrap w:val="0"/>
            <w:vAlign w:val="center"/>
          </w:tcPr>
          <w:p w14:paraId="0A4891C0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C010C5A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noWrap w:val="0"/>
            <w:vAlign w:val="center"/>
          </w:tcPr>
          <w:p w14:paraId="15DAFC2B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46F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1281" w:type="dxa"/>
            <w:noWrap w:val="0"/>
            <w:vAlign w:val="center"/>
          </w:tcPr>
          <w:p w14:paraId="2046460A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申</w:t>
            </w:r>
          </w:p>
          <w:p w14:paraId="4E4B2A44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请</w:t>
            </w:r>
          </w:p>
          <w:p w14:paraId="10022933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事</w:t>
            </w:r>
          </w:p>
          <w:p w14:paraId="192A0EA9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 w14:paraId="12D9682A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20DD0DD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42A69DD8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C18E2FC">
            <w:pPr>
              <w:pStyle w:val="3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8397B2D">
            <w:pPr>
              <w:pStyle w:val="7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54EC9D8C"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54EC2E81">
            <w:pPr>
              <w:pStyle w:val="3"/>
            </w:pPr>
          </w:p>
          <w:p w14:paraId="0087F8A4"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50075ECC"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负责人签字：             申请单位：（盖章）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</w:t>
            </w:r>
          </w:p>
          <w:p w14:paraId="57DC61EE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年    月    日</w:t>
            </w:r>
          </w:p>
        </w:tc>
      </w:tr>
      <w:tr w14:paraId="5D8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897" w:type="dxa"/>
            <w:gridSpan w:val="4"/>
            <w:noWrap w:val="0"/>
            <w:vAlign w:val="center"/>
          </w:tcPr>
          <w:p w14:paraId="6A1141A6">
            <w:pPr>
              <w:jc w:val="both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县（市、区）人社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部门意见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：</w:t>
            </w:r>
          </w:p>
          <w:p w14:paraId="578FB3D7">
            <w:pPr>
              <w:jc w:val="both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20DF9109">
            <w:pPr>
              <w:jc w:val="both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</w:p>
          <w:p w14:paraId="62A3F60A">
            <w:pPr>
              <w:ind w:firstLine="472" w:firstLineChars="2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  月   日</w:t>
            </w:r>
          </w:p>
        </w:tc>
      </w:tr>
      <w:tr w14:paraId="27FD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897" w:type="dxa"/>
            <w:gridSpan w:val="4"/>
            <w:noWrap w:val="0"/>
            <w:vAlign w:val="center"/>
          </w:tcPr>
          <w:p w14:paraId="6388CABE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备注：</w:t>
            </w:r>
          </w:p>
          <w:p w14:paraId="077A3905">
            <w:pPr>
              <w:widowControl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1、申请事项主要有：新增账号、冻结账号、解锁账号、注销账号、变更账号权限等。</w:t>
            </w:r>
          </w:p>
          <w:p w14:paraId="3D5F69A1">
            <w:pPr>
              <w:widowControl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2、系统账号主要分为：系统管理员账号、业务管理员账号、业务操作员账号。</w:t>
            </w:r>
          </w:p>
          <w:p w14:paraId="09C9AB06">
            <w:pPr>
              <w:widowControl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3、新增账号的，要注明账号使用人姓名，单位和职务，身份证号，联系方式等信息。</w:t>
            </w:r>
          </w:p>
        </w:tc>
      </w:tr>
    </w:tbl>
    <w:p w14:paraId="2D71C599"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FDC90"/>
    <w:multiLevelType w:val="singleLevel"/>
    <w:tmpl w:val="DFDFDC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573AF3"/>
    <w:multiLevelType w:val="singleLevel"/>
    <w:tmpl w:val="EB573AF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DF9ABE5"/>
    <w:multiLevelType w:val="singleLevel"/>
    <w:tmpl w:val="FDF9AB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E7F8F31"/>
    <w:multiLevelType w:val="singleLevel"/>
    <w:tmpl w:val="FE7F8F31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293A5E72"/>
    <w:rsid w:val="064E58E2"/>
    <w:rsid w:val="15305F90"/>
    <w:rsid w:val="293A5E72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索引 91"/>
    <w:basedOn w:val="1"/>
    <w:next w:val="1"/>
    <w:autoRedefine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1497</Words>
  <Characters>1505</Characters>
  <Lines>0</Lines>
  <Paragraphs>0</Paragraphs>
  <TotalTime>0</TotalTime>
  <ScaleCrop>false</ScaleCrop>
  <LinksUpToDate>false</LinksUpToDate>
  <CharactersWithSpaces>1505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2024-07-23T00:15:00Z</dcterms:created>
  <dc:creator>临水沐阳</dc:creator>
  <cp:lastModifiedBy>临水沐阳</cp:lastModifiedBy>
  <dcterms:modified xsi:type="dcterms:W3CDTF">2024-07-23T00:18:43Z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610535DD85474A3AA273ABCDB857FC24_11</vt:lpwstr>
  </property>
</Properties>
</file>