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87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2024年省《政府工作报告》任务分解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872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一、县文旅局牵头的工作1项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免费送戏下乡。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二、县商务发展中心牵头的工作1项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实施农村寄递物流服务全覆盖提质增效工程。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三、县水利局牵头的工作1项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开展农村供水工程维修养护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新增和恢复水浇地。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四、县民政局牵头的工作3项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 w:color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为80周岁及以上老年人发放高龄津贴</w:t>
      </w:r>
      <w:r>
        <w:rPr>
          <w:rFonts w:hint="eastAsia" w:ascii="仿宋_GB2312" w:hAnsi="仿宋_GB2312" w:cs="仿宋_GB2312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实施城乡养老和老年助餐幸福工程，新建改造城镇社区养老工程、农村区域养老中心，改造农村老年人日间照料中心，对80周岁及以上低保家庭老年人补贴餐费。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完成特殊困难老年人家庭适老化改造。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五、县人社局牵头的工作3项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 w:color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加强高校毕业生就业促进服务。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推动就业社保服务覆盖所有行政村和社区，在家门口做好服务保障。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u w:val="none" w:color="auto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开展个体工商户保险保障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六、县农业局牵头的工作2项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1.在产粮大县实施小麦玉米完全成本保险财政补贴全覆盖。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农村生活污水治理</w:t>
      </w: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农村黑臭水体治理任务。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七、县住建局牵头的工作1项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实施既有住宅自愿加装电梯。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八、县卫体局牵头的工作2项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对上消化道癌高风险人群开展内镜检查。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 w:color="auto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对执行政府指导价的普惠托育机构进行补助，实现“一老一幼”普惠补贴全覆盖。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九、县残联牵头的工作1项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扶残助学圆梦，抢救性康复救助残疾儿童，基本辅助器具适配补贴。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872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2024年市《政府工作报告》任务分解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50" w:lineRule="exact"/>
        <w:ind w:left="0" w:leftChars="0" w:firstLine="632" w:firstLineChars="200"/>
        <w:jc w:val="lef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一、县发改局牵头的工作5项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1.积极推进供气、供热、供水等公共服务领域价格改革。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深化京长对口合作。依托京长对口合作高质量发展研究中心，搭建政策研究、高端交流、科研成果转化为一体的多元合作平台。举办京长产业链供应链发展大会，探索跨区域项目联合策划、成果共享机制，打造更多“双向飞地”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.推动非常规天然气增储上产。有序开发光伏、风电、生物质能，新增新能源装机60万千瓦。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.加强充电桩等充电基础设施布局建设。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.严格落实“双碳”目标要求，能耗强度下降1.8%以上。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二、县财政局牵头的工作1项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黑体" w:hAnsi="黑体" w:eastAsia="黑体" w:cs="黑体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力争贷款余额增长10%左右，社会融资总量达到500亿元以上，金融增加值增长9%左右。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color w:val="auto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县工信局牵头的工作1项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开展国有企业改革深化提升行动，组建国有资本投资运营公司，进一步优化国有资本布局结构，激发国有企业发展活力。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四、县应急局牵头的工作1项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坚持“三管三必须”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强化安全生产责任落实，扎实开展安全生产治本攻坚三年行动，深化煤矿、非煤矿山、危化品、道路交通、建筑施工、特种设备、燃气、消防等重点行业领域专项整治，做好地质灾害防治、森林草原防灭火等工作，坚决防范事故发生。加快实施自然灾害防治能力提升项目，建设应急管理综合应用平台，完善应急救援体系，提升应急管理体系和能力现代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五、县文旅局牵头的工作4项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1.积极承接和举办具有影响力的文体活动，培育文化娱乐、体育赛事等新的消费增长点。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2.聚焦文旅康养“五大品牌”每个县区至少落地3个重大项目。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.打造20家市级以上精品民宿。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.推进国家公共文化服务体系示范区创新发展三年行动计划，确保顺利通过国家复核验收。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六、县商务发展中心牵头的工作2项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.巩固提升11个乡村e镇，健全农村商贸设施和物流配送体系，创建国家消费帮扶产地示范区。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.实施农村寄递物流服务全覆盖提质增效工程，建设统仓共配模式化示范县1个，乡镇快递综合服务站10个，行政村快递便民服务点111个。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七、县环保局牵头的工作4项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1.完成80个村庄生活污水治理。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2.完成12万户散煤清零改造，力争PM2.5浓度降至每立方米34微克以下、优良天数达到80%、污染物排放总量减少1万吨。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3.力争国省控断面水质全部优良，市控断面水质全部达标。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4.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扎实推进近零碳示范工程。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八、县园卫中心牵头的工作1项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加快实施建筑垃圾、餐厨垃圾、大件垃圾处理项目。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九、县民政局牵头的工作4项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1.继续提高城乡低保和特困人员救助供养标准。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.为80周岁及以上老年人发放高龄津贴。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.实施城乡养老和老年助餐幸福工程，新建改造5个城镇社区养老工程，新建改造17个农村区域养老中心，改造185个农村老年人日间照料中心，根据实际需求情况对80周岁及以上低保家庭老年人补贴餐费。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.完成8394户特殊困难老年人家庭适老化改造。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十、县人社局牵头的工作4项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.城镇新增就业4.3万人。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.实施好公共就业服务能力提升示范项目。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.高质量开展职业技能培训，建设5个技能人才培训基地和10个技能大师工作室，技能人才占从业人员比例达到34%以上。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.推进参保扩面，提高新就业形态、灵活就业人员等群体参保率，继续提高城乡居民基本养老保险基础养老金最低标准。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十一、县交通局牵头的工作2项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1.新建太行一号旅游公路350公里。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2.新改建“四好农村路”330公里。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十二、县农业农村局牵头的工作5项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.新建改造高标准农田19.7万亩，建设10万亩吨粮田示范区，粮食播种面积稳定在385万亩以上、产量稳定在25.16亿斤以上。推广大豆玉米带状复合种植10万亩。大力发展冬播谷子，推广优质谷子种植30万亩以上。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.蔬菜播种面积达到42万亩以上，生猪出栏量稳定在110万头以上。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.深入实施农村人居环境整治提升行动，建设39个精品示范村、322个提档升级村，完成1.3万座农村户厕改造。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.推进农业产权交易中心建设，农村集体经济收入超30万元的行政村达到1800个以上。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5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.全面推进农业生产托管服务，托管服务面积达到340万亩。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十三、县行政审批局牵头的工作1项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加快数字政府建设，提升“一网通办”“全程网办”服务能力，完善“三晋通·长智办”APP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，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推动“7×24小时”自助政务服务超市覆盖70%以上的乡镇。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十四、县卫体局牵头的工作4项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.完善和落实生育支持政策，推进普惠托育服务发展示范项目。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.对执行政府指导价的普惠托育机构进行补助。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.对2000名上消化道癌高风险人群开展内镜检查。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4.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以筹办第十七届省运会为契机，广泛深入开展群众性体育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活动，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加强体育锻炼，养成健康习惯。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十五、县市场局牵头的工作3项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1.支持潞酒、小米等打造地方特色食品品牌，开展醋业国际标准化研究。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2.推进检验检测市场化改革，建设“检测+研发+服务”综合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检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验检测园区。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3.严格食品药品安全监管。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十六、县</w:t>
      </w:r>
      <w:r>
        <w:rPr>
          <w:rFonts w:hint="default" w:ascii="黑体" w:hAnsi="黑体" w:eastAsia="黑体" w:cs="黑体"/>
          <w:color w:val="auto"/>
          <w:szCs w:val="32"/>
          <w:lang w:val="en-US" w:eastAsia="zh-CN"/>
        </w:rPr>
        <w:t>公安局牵头的工作1项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持续开展扫黑恶、治电诈、打盗窃、净网络等专项行动，严厉打击各类违法犯罪活动。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十七</w:t>
      </w:r>
      <w:r>
        <w:rPr>
          <w:rFonts w:hint="default" w:ascii="黑体" w:hAnsi="黑体" w:eastAsia="黑体" w:cs="黑体"/>
          <w:color w:val="auto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县信访局牵头的工作1项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完善社会矛盾纠纷多元预防调处化解综合机制，深化信访问题源头治理三年攻坚行动，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全面推进</w:t>
      </w: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信访工作法治化。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十八、县红十字会牵头的工作1项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加快普及应急救护技能，全面提升群众自救互救能力。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十九、县残联牵头的工作1项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32" w:firstLineChars="200"/>
        <w:jc w:val="left"/>
        <w:textAlignment w:val="auto"/>
        <w:rPr>
          <w:rFonts w:hint="default" w:ascii="仿宋_GB2312" w:hAnsi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cs="仿宋_GB2312"/>
          <w:color w:val="auto"/>
          <w:szCs w:val="32"/>
          <w:lang w:val="en-US" w:eastAsia="zh-CN"/>
        </w:rPr>
        <w:t>对我市852名残疾人大学生、困难残疾人家庭子女大学生以专科4000元、本科5000元、硕士研究生6000元的标准资助；0-15岁残疾儿童抢救性康复救助完成662名；“残疾人基本型辅助器具适配补贴”完成4504人。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5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872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2024年县《政府工作报告》任务分解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一、示范区牵头的工作3项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以“三化三制”改革为引领，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放大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“承诺制＋标准地＋全代办”改革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集成效益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，强化土地、资金、用水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用电、审批手续等要素服务保障。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2.持续引深“三个一批”活动，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确保签约项目开工率、开工项目投产率、投产项目达效率分别达到90%、75％和90％。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重点打造有机食品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种植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加工示范区、生态休闲康养产业园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引导优质项目向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示范区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集中。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二、县财政局牵头的工作3项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both"/>
        <w:textAlignment w:val="baseline"/>
        <w:rPr>
          <w:rFonts w:hint="default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一般公共预算收入增长5%</w:t>
      </w: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积极争取中央预算内资金、政府专项债券、新增特别国债和开发性政策性金融工具，年内争取的上级资金数（不包括上级按比例分配的资金）确保达到各县区平均水平以上。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严守政府债务红线，坚决遏制增量、化解存量，确保政府债务处于合理区间。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三、县发改局牵头的工作8项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both"/>
        <w:textAlignment w:val="baseline"/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地区生产总值按增长6.5%左右安排，在实际工作中尽可能争取更好结果</w:t>
      </w: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default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固定资产投资增长12%以上</w:t>
      </w: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加强新能源项目储备，持续推动光伏、风电、新型储能项目建设，推进广丰200兆瓦光伏储能发电、华能二期100兆瓦光伏发电和吉晟100兆瓦光伏发电等项目。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.实行“一企一策”，科学运用“四全工作法”“四精四账”“五张清单”和“四库”工作机制，统筹抓好总投资190.28亿元111个重点工程项目，年度计划投资完成58.15亿元。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扎实开展项目建设攻坚行动，确保上半年续建项目复工率达100%、新建项目开工率达到95%以上。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.深化要素市场化改革，从土地、能耗、污染物排放总量替代指标、水资源等方面，强化重大项目要素保障，加快项目落地见效。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推进沁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房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合作协议事项落实，加快推动一批重大对口合作示范项目落地建设，力争年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完成投资2亿元左右。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严格落实“双碳”“双控”目标要求，全面实施行业能效提升行动，确保能耗强度下降2.5%以上。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四、县工信局牵头的工作3项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default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规上工业增加值增长8%以上</w:t>
      </w: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推进5G基站建设和补盲点工作，加快5G应用场景建设，实现全县乡镇5G信号全覆盖。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深化国资国企改革，</w:t>
      </w:r>
      <w:r>
        <w:rPr>
          <w:rFonts w:hint="eastAsia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推进人资分离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，加快“僵尸企业”市场化出清，逐步解决好企业欠保等历史遗留问题，维护职工切身利益。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五、县自然资源局牵头的工作1项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坚决遏制各类耕地“非农化”、防止耕地“非粮化”，坚守耕地保护红线。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六、县应急局牵头的工作1项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扎实开展安全生产治本攻坚三年行动，持续深化非煤矿山、道路交通、建筑施工、食品药品、危化品、森林防火、燃气、消防等重点领域专项整治，坚决防范和遏制重大安全生产事故。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七、县林业局牵头的工作2项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1.实施2.5万亩黄河和黄河流域防护林屏障建设工程，抓好0.75万亩侧柏叶枯病防治。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2.全面落实林长制，严厉打击破坏野生动植物资源等违法违规行为，打造良楼沟、郭村2个森林乡村，对境内百年以上古树加强保护。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八、县文旅局牵头的工作5项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1.实施南涅水石刻馆预防性保护、馆藏文物数字化、布展陈列提升等项目。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2.争创二郎山南涅水石刻馆4A级景区。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.整合《新华日报》（华北版）创刊地旧址、上党银号等红色资源，打造具有沁县特色的红色文旅品牌。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.加大文旅品牌宣传推广力度，开展大型旅游推介活动。举办第十六届端午民俗文化节，推动“文化走出去”。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.完成文化惠民演出1800场以上，送戏下乡100场，打造“曲韵沁州·周末书场”文化惠民品牌。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九、县招商中心牵头的工作5项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1.抓牢京长合作机遇，补强招商团队，完善我县招商引资优惠政策，落实好“产业链链长+招商专员”制度，提高招商引资签约率、落地率、资金到位率。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组团参加广交会、进博会、山西农博会等大型展会。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.促进招商引资增质增效，力争新引进5—10个亿元以上项目。全年签约项目投资额达到60亿元以上，签约项目当年开工率达到85%以上。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.推进沁县房山合作协议事项落实，加快推动一批重大对口合作示范项目落地建设，力争年内完成投资2亿元左右。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瞄准央企、国企、民企头部企业开展精准对接，探索跨区域项目联合策划、利益分成、成果共享机制。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十、县环保局牵头的工作5项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.坚持精准治污、科学治污、依法治污，坚决抓好环保督察反馈问题整改，着力解决好群众身边突出环境问题。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.强化扬尘综合整治，确保建筑工地“六个百分百”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.全面完成建制镇生活污水处理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开工建设沁县段柳断面水质生态补偿项目，确保断面水质稳定达标。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完成上党革命老区散煤清零改造2.6万余户，力争煤炭消耗总量减少约8万吨。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十一、县园卫中心牵头的工作4项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1.建设一批口袋公园，提质改造南湖公园，新增绿化面积10万平方米，让绿色成为县城的底色。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632" w:firstLineChars="200"/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加强县城道路清扫与保洁，完成县城裸地绿化1万平方米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632" w:firstLineChars="200"/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推动实施浊漳河沁县南湖段生态修复治理</w:t>
      </w: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提档升级</w:t>
      </w: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南湖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公园</w:t>
      </w: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left="0" w:leftChars="0" w:firstLine="632" w:firstLineChars="200"/>
        <w:rPr>
          <w:rFonts w:hint="default"/>
          <w:lang w:val="en-US" w:eastAsia="zh-CN"/>
        </w:rPr>
      </w:pP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启动县城餐厨垃圾处理项目。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十二、县水利局牵头的工作2项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开展母亲河复苏行动，做好浊漳河西源流域生态修复，完成南湖水库湖西半岛生态环境治理工程，实施后泉、榜口流域综合治理工程和涅河松村段河道生态修复工程，建设漳河村、徐阳村2个水美乡村。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完成4.8万亩水土保持治理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十三、县交通局牵头的工作3项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1.加快推进太行一号旅游公路建设，年内串联起县城四湖和周边八湖，形成111多公里的亲水环水旅游线路。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.推进沁州北路延伸段道路建设，完成县道段宜线公路改造项目18.6公里，为提升县城承载力夯实基础。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完成自然村通硬化路17个项目22.98公里，实施入户路硬化工程。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十四、县民政局牵头的工作1项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改造8个日间照料中心。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十五、县人社局牵头的工作6项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城镇居民</w:t>
      </w: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人均</w:t>
      </w:r>
      <w:r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可支配收入与经济增长同步</w:t>
      </w: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城镇新增就业2100人</w:t>
      </w: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做好高校毕业生、退役军人、返乡人员等重点群体就业创业服务，持续开展“四季招聘”为重点的大型活动，用足用好零工市场的灵活性、机动性优势。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.完成职业技能培训1000人次。深入开展线上线下及“10+N”专项招聘活动，实现周周有招聘，月月有专场。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.依托“牛寺月嫂”等特色劳务品牌，带动农村劳动力转移就业，新增农村劳动力外出务工1.5万人次。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.持续扩大基本养老保险、基本医疗保险覆盖面，推动社会保险、社会救助、社会福利有效衔接，完善基本养老、基本医疗、最低生活保障等制度，兜牢社会保障底线。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十六、县退役军人事务局牵头的工作1项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深入开展“双拥”活动，加强军人军属、退役军人和其他优抚对象优待工作。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十七、县农业农村局牵头的工作17项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农村居民</w:t>
      </w: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人均</w:t>
      </w:r>
      <w:r>
        <w:rPr>
          <w:rFonts w:hint="eastAsia" w:ascii="仿宋_GB2312" w:eastAsia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可支配收入高于经济增长水平</w:t>
      </w:r>
      <w:r>
        <w:rPr>
          <w:rFonts w:hint="eastAsia" w:ascii="仿宋_GB2312" w:cs="Times New Roman"/>
          <w:b w:val="0"/>
          <w:bCs w:val="0"/>
          <w:i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扶持沁州黄集团、北方水城食品有限公司实施山西谷子产业集群项目，推进沁州黄高标准谷子示范基地建设，进一步延伸谷子产业链。持续加大沁州黄产业等一产高质量发展扶持政策，投入1400万元在种植、加工、市场营销等方面给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.实施沁润蔬菜种植全产业链项目；完成海州蔬菜产业园、尧山蔬菜大棚产业基础设施建设。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.持续推进沁州白家禽、</w:t>
      </w: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沁州蓝渔业高质量发展；扩建宇辰农业100万羽蛋鸡产业园；发展现代化水产养殖及精深加工，引进渔业龙头企业，促进渔业发展。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Calibri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实施沁润农业预制菜、沁州黑粮品、沁州白面粉等精深加工项目；培育以山西惠而旺食品开发有限公司为主体的沁州黄米</w:t>
      </w:r>
      <w:r>
        <w:rPr>
          <w:rFonts w:hint="eastAsia" w:ascii="Calibri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醋联合体；加快研发小米功能食品、保健食品、药食同源食品。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6.鼓励发展生物质能源产业，抓好生物天然气及有机肥生态循环利用、农业产业化综合能源供应等项目，构建农作物秸秆和畜禽粪便收集、储运、加工配套体系。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default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7.实施沁州黄镇轻城村数字乡村建设，推进“数字大田种植”示范项目。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以学习运用“千万工程”经验为引领，以确保粮食安全、确保不发生规模性返贫为底线，以提升乡村建设水平、提升乡村治理水平为重点，打好乡村全面振兴漂亮仗，绘就和美乡村新画卷。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投资1.5亿元建设高标准农田5万亩，新增灌溉农田1万亩，强化红线意识，坚守确保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全县耕地面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积不少于62万亩底线。大力推动耕地秋翻，两年内力争达到100%。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实施好谷子良种繁育基地等重点涉农项目，推广大豆玉米带状复合种植1万亩以上、优质谷子种植5.5万亩以上。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巩固“全省粮食产业特色县”成效，确保全县粮食播种面积稳定在42万亩，粮食产量稳定在2亿公斤以上。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分类打造3个精品示范村、26个提档升级村。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13.</w:t>
      </w:r>
      <w:r>
        <w:rPr>
          <w:rFonts w:hint="eastAsia" w:ascii="Calibri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改厕3000户。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实施农村人居环境整治生活垃圾处理项目，完善各乡镇村垃圾中转站配套设施，新建5个乡镇地埋式垃圾桶中转站。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加强建设用地、农用地土壤污染风险管控，抓好农业面源污染综合治理，引深“清废”专项行动。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.在石板上、徐阳、徐村等村扶持100户农户发展“沁州人家”民宿。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17.</w:t>
      </w:r>
      <w:r>
        <w:rPr>
          <w:rFonts w:hint="default" w:ascii="仿宋_GB2312" w:hAnsi="仿宋_GB2312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实施沁州黄镇轻城村数字乡村建设，推进“数字大田种植”示范项目，探索数字农业持续发展的有效机制，把“汗水农业”变为“智慧农业”。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十八、县乡村振兴局牵头的工作4项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投入乡村振兴衔接资金1.33亿元，重点扶持100个村发展特色产业，扶持1000户“三类户”、脱贫户发展庭院经济。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财政补助1260万元，撬动其他投资2000万元，扶持18个村发展新型农村集体经济项目，力争集体经济收入超30万元的行政村达到60%以上。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加强防返贫动态监测和帮扶，严格落实“四个不摘”要求，持续巩固提升“三保障”水平。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强化脱贫人口产业就业帮扶，拓展消费帮扶、以工代赈等收益，确保脱贫人口人均纯收入增幅高于农村居民人均可支配收入增幅，坚决守牢不发生规模性返贫底线。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5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十九、县行政审批局牵头的工作3项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1.深化“一枚印章管审批”“一件事一次办”“证照分离”等改革，设立“办不成事”窗口。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2.加快数字政府建设，提升“一网通办”“全程网办”服务能力，推动“7x24小时”自助政务服务超市覆盖70%以上的乡镇。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开展市场经营主体深化年活动，常态化开展入企服务，力争全年“个转企”8户，建立常态化政企沟通交流机制、入企服务制度、领导干部联系民营企业工作制度，落实减税降费等惠企政策，持续整治“两不一欠”问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二十、县住建局牵头的工作7项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1.重点推进长胜片区城市更新，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加快完善市政道路提质改造和雨污分流改造等项目。大力推动主城区燃气管道普及、县城供水扩容、热源热网等硬件工程。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2.加大智慧城市、海绵城市、韧性城市建设步伐，加大城市管理执法力度，启动县城智慧环卫建设项目，通过硬件建设和软件提高，使县城的品位、品质、品相都有一个明显提升。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3.建设停车场、农贸市场、公厕等公共服务设施。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县城第二污水处理厂要投入使用。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内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完成廉公桥（京长友谊桥）改造</w:t>
      </w: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，力争国庆节前后通车。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改造提升巷道14条（6月底前完成菜园巷、德义巷、何家巷、文星道、古马道5条巷道；8月底前完成北石巷、东仁巷、光明巷、将台巷、南川巷5条巷道；10月底前完成牛家巷、范家道、司法局旁巷道、合庄村巷道4条巷道）</w:t>
      </w: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完成主城区供热管网全覆盖</w:t>
      </w: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（新建26个换热站、铺设12公里管线、实现7个城中村集中供热）。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二十一、县教育局牵头的工作7项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1.加强教育对接，主动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与房山区知名学校交流合作，通过人才培养、学科共建、互联网智慧教育等合作途径，共享优质教育资源。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2.全面推进铜川学校（初中部）、红旗小学、中等职业学校综合能力提升等项目建设。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3.巩固提升“双减”成果，构建良好教育生态，让教师潜心教书、静心育人。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4.深化课堂教学改革，实施“新网师”培训工程，积极打造高效课堂。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5.深入开展高中教育质量振兴计划，扎实推进新高考改革，努力实现高考成绩新突破，提升全县教育教学质量。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6.营造书香校园、特色校园、健康校园，加强体育锻炼，着力治理“大书包、作业多、小胖墩、小眼镜”问题。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632" w:firstLineChars="200"/>
        <w:jc w:val="left"/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在公办幼儿园开设托班，新增托位100个</w:t>
      </w: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right="0" w:firstLine="59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二十二、县卫体局牵头的工作6项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1.深化医疗合作，与北京中医药大学在中草药种植深加工、“西学中”人才培养、中医针灸疗等方面，就中医技术、实习实训基地、远程医疗、康养机构建设开展沟通协作。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2.深化医药卫生体制改革，推动优质医疗资源下沉。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3.加快县中心医院建设进度，年内投资2亿元，力争完成医技楼、门急诊楼、住院楼及人防车库主体建设。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4.推进临床重点专科建设，带动诊疗水平提升。实施大学生村医专项计划和在岗村医学历提升专项行动，夯实基层卫生服务网底。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5.全面推动中医药强县战略，提升中医诊疗服务能力和中医药服务供给能力。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left="0" w:leftChars="0" w:firstLine="632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6.完善和落实生育支持政策，健全普惠托育服务体系。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二十三、县公安局牵头的工作1项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常态化推进扫黑除恶斗争，严厉打击电信诈骗、私挖滥采、超限超载等各类违法犯罪行为，着力建设平安沁县。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二十四、县信访局牵头的工作1项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坚持和发展新时代“枫桥经验”，推进矛盾纠纷多元化解，引导群众通过合理渠道表达诉求，全力做好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新中国成立75周年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等重要节点维稳保障工作。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二十五、县交警大队牵头的工作1项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强化危化品运输车辆过境管控，划定禁行区域和绕行路线，筑牢危化品运输安全屏障。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二十六、电力公司牵头的工作2项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textAlignment w:val="auto"/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1.推进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城北110千伏输变电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left="0" w:leftChars="0" w:firstLine="632" w:firstLineChars="200"/>
        <w:jc w:val="left"/>
        <w:textAlignment w:val="auto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cs="仿宋_GB2312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新建充电桩50个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XXXX单位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落实2024年政府工作报告目标任务的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县政府：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我单位承担2024年政府工作报告目标任务共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项，现逐项制定实施方案如下：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一、省政府工作报告目标任务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1.工作举措：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2.责任股室：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3.完成时限：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二、市政府工作报告目标任务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（一）xxxxxx。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1.工作举措：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2.责任股室：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3.完成时限：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三、县政府工作报告目标任务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1.工作举措：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2.责任股室：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3.完成时限：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.......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xx日</w:t>
      </w:r>
    </w:p>
    <w:p>
      <w:pP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eastAsia="仿宋_GB2312"/>
          <w:lang w:val="en-US" w:eastAsia="zh-CN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8" w:header="851" w:footer="1417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872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落实2024年政府工作报告目标任务情况调度表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4"/>
          <w:lang w:val="en-US" w:eastAsia="zh-CN" w:bidi="ar-SA"/>
        </w:rPr>
        <w:t>单位名称（盖章）：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                                                     年  月  日</w:t>
      </w:r>
    </w:p>
    <w:tbl>
      <w:tblPr>
        <w:tblStyle w:val="7"/>
        <w:tblW w:w="13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730"/>
        <w:gridCol w:w="4935"/>
        <w:gridCol w:w="282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552" w:firstLineChars="2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政府工作报告目标任务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目前进度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560" w:lineRule="exact"/>
              <w:ind w:firstLine="632" w:firstLineChars="200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60" w:lineRule="exact"/>
        <w:ind w:firstLine="632" w:firstLineChars="200"/>
        <w:jc w:val="left"/>
        <w:rPr>
          <w:rFonts w:hint="default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24"/>
          <w:lang w:val="en-US" w:eastAsia="zh-CN" w:bidi="ar-SA"/>
        </w:rPr>
        <w:t>填写说明：1.在备注栏中注明省（市、县）政府工作报告任务。2.每月5日前将此表报县政府办314办公室。</w:t>
      </w:r>
    </w:p>
    <w:p/>
    <w:sectPr>
      <w:headerReference r:id="rId9" w:type="first"/>
      <w:footerReference r:id="rId11" w:type="first"/>
      <w:headerReference r:id="rId8" w:type="default"/>
      <w:footerReference r:id="rId10" w:type="default"/>
      <w:pgSz w:w="16838" w:h="11906" w:orient="landscape"/>
      <w:pgMar w:top="1588" w:right="2098" w:bottom="1474" w:left="1984" w:header="851" w:footer="1417" w:gutter="0"/>
      <w:pgNumType w:fmt="numberInDash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 w:eastAsia="仿宋_GB2312"/>
        <w:lang w:eastAsia="zh-CN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  <w:rPr>
        <w:rFonts w:hint="eastAsia" w:eastAsia="仿宋_GB2312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eastAsia="仿宋_GB231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仿宋_GB2312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eastAsia="仿宋_GB2312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5B37"/>
    <w:rsid w:val="15305F90"/>
    <w:rsid w:val="55900D22"/>
    <w:rsid w:val="5D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before="100" w:beforeLines="100" w:beforeAutospacing="0" w:after="100" w:afterLines="100" w:afterAutospacing="0" w:line="480" w:lineRule="auto"/>
      <w:ind w:firstLine="0"/>
      <w:jc w:val="center"/>
      <w:outlineLvl w:val="0"/>
    </w:pPr>
    <w:rPr>
      <w:rFonts w:ascii="宋体"/>
      <w:b/>
      <w:bCs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next w:val="1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</w:pPr>
    <w:rPr>
      <w:rFonts w:ascii="仿宋_GB2312" w:hAnsi="Times New Roman" w:eastAsia="仿宋_GB2312" w:cs="Times New Roman"/>
      <w:color w:val="000000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2024-05-27T09:14:00Z</dcterms:created>
  <dc:creator>临水沐阳</dc:creator>
  <cp:lastModifiedBy>临水沐阳</cp:lastModifiedBy>
  <dcterms:modified xsi:type="dcterms:W3CDTF">2024-05-27T09:16:25Z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