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60" w:lineRule="exact"/>
        <w:ind w:firstLine="0" w:firstLineChars="0"/>
        <w:rPr>
          <w:rFonts w:hint="eastAsia"/>
        </w:rPr>
      </w:pPr>
      <w:r>
        <w:rPr>
          <w:rFonts w:hint="eastAsia" w:ascii="黑体" w:hAnsi="黑体" w:eastAsia="黑体"/>
        </w:rPr>
        <w:t>附件</w:t>
      </w:r>
    </w:p>
    <w:p>
      <w:pPr>
        <w:pStyle w:val="2"/>
        <w:spacing w:after="0" w:line="560" w:lineRule="exact"/>
        <w:ind w:firstLine="0" w:firstLineChars="0"/>
        <w:jc w:val="center"/>
        <w:rPr>
          <w:rFonts w:hint="eastAsia" w:ascii="方正小标宋简体" w:hAnsi="黑体" w:eastAsia="方正小标宋简体"/>
          <w:szCs w:val="32"/>
        </w:rPr>
      </w:pPr>
      <w:r>
        <w:rPr>
          <w:rFonts w:hint="eastAsia" w:ascii="方正小标宋简体" w:hAnsi="黑体" w:eastAsia="方正小标宋简体"/>
          <w:szCs w:val="32"/>
        </w:rPr>
        <w:t>沁县乡镇政务服务事项赋权清单（第一批）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2160"/>
        <w:gridCol w:w="1785"/>
        <w:gridCol w:w="7440"/>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spacing w:line="240" w:lineRule="exact"/>
              <w:jc w:val="center"/>
              <w:textAlignment w:val="center"/>
              <w:rPr>
                <w:rFonts w:ascii="黑体" w:hAnsi="黑体" w:eastAsia="黑体" w:cs="仿宋_GB2312"/>
                <w:b/>
                <w:sz w:val="21"/>
                <w:szCs w:val="21"/>
              </w:rPr>
            </w:pPr>
            <w:r>
              <w:rPr>
                <w:rFonts w:hint="eastAsia" w:ascii="黑体" w:hAnsi="黑体" w:eastAsia="黑体" w:cs="仿宋_GB2312"/>
                <w:b/>
                <w:sz w:val="21"/>
                <w:szCs w:val="21"/>
                <w:lang w:bidi="ar"/>
              </w:rPr>
              <w:t>序号</w:t>
            </w:r>
          </w:p>
        </w:tc>
        <w:tc>
          <w:tcPr>
            <w:tcW w:w="2160" w:type="dxa"/>
            <w:noWrap w:val="0"/>
            <w:vAlign w:val="center"/>
          </w:tcPr>
          <w:p>
            <w:pPr>
              <w:spacing w:line="240" w:lineRule="exact"/>
              <w:jc w:val="center"/>
              <w:textAlignment w:val="center"/>
              <w:rPr>
                <w:rFonts w:ascii="黑体" w:hAnsi="黑体" w:eastAsia="黑体" w:cs="仿宋_GB2312"/>
                <w:b/>
                <w:sz w:val="21"/>
                <w:szCs w:val="21"/>
              </w:rPr>
            </w:pPr>
            <w:r>
              <w:rPr>
                <w:rFonts w:hint="eastAsia" w:ascii="黑体" w:hAnsi="黑体" w:eastAsia="黑体" w:cs="仿宋_GB2312"/>
                <w:b/>
                <w:sz w:val="21"/>
                <w:szCs w:val="21"/>
                <w:lang w:bidi="ar"/>
              </w:rPr>
              <w:t>事项名称</w:t>
            </w:r>
          </w:p>
        </w:tc>
        <w:tc>
          <w:tcPr>
            <w:tcW w:w="1785" w:type="dxa"/>
            <w:noWrap w:val="0"/>
            <w:vAlign w:val="center"/>
          </w:tcPr>
          <w:p>
            <w:pPr>
              <w:spacing w:line="240" w:lineRule="exact"/>
              <w:jc w:val="center"/>
              <w:textAlignment w:val="center"/>
              <w:rPr>
                <w:rFonts w:ascii="黑体" w:hAnsi="黑体" w:eastAsia="黑体" w:cs="仿宋_GB2312"/>
                <w:b/>
                <w:sz w:val="21"/>
                <w:szCs w:val="21"/>
              </w:rPr>
            </w:pPr>
            <w:r>
              <w:rPr>
                <w:rFonts w:hint="eastAsia" w:ascii="黑体" w:hAnsi="黑体" w:eastAsia="黑体" w:cs="仿宋_GB2312"/>
                <w:b/>
                <w:sz w:val="21"/>
                <w:szCs w:val="21"/>
                <w:lang w:bidi="ar"/>
              </w:rPr>
              <w:t>子项名称</w:t>
            </w:r>
          </w:p>
        </w:tc>
        <w:tc>
          <w:tcPr>
            <w:tcW w:w="7440" w:type="dxa"/>
            <w:noWrap w:val="0"/>
            <w:vAlign w:val="center"/>
          </w:tcPr>
          <w:p>
            <w:pPr>
              <w:spacing w:line="240" w:lineRule="exact"/>
              <w:jc w:val="center"/>
              <w:textAlignment w:val="center"/>
              <w:rPr>
                <w:rFonts w:ascii="黑体" w:hAnsi="黑体" w:eastAsia="黑体" w:cs="仿宋_GB2312"/>
                <w:b/>
                <w:sz w:val="21"/>
                <w:szCs w:val="21"/>
              </w:rPr>
            </w:pPr>
            <w:r>
              <w:rPr>
                <w:rFonts w:hint="eastAsia" w:ascii="黑体" w:hAnsi="黑体" w:eastAsia="黑体" w:cs="仿宋_GB2312"/>
                <w:b/>
                <w:sz w:val="21"/>
                <w:szCs w:val="21"/>
                <w:lang w:bidi="ar"/>
              </w:rPr>
              <w:t>事项依据</w:t>
            </w:r>
          </w:p>
        </w:tc>
        <w:tc>
          <w:tcPr>
            <w:tcW w:w="1118" w:type="dxa"/>
            <w:noWrap w:val="0"/>
            <w:vAlign w:val="center"/>
          </w:tcPr>
          <w:p>
            <w:pPr>
              <w:spacing w:line="240" w:lineRule="exact"/>
              <w:jc w:val="center"/>
              <w:textAlignment w:val="center"/>
              <w:rPr>
                <w:rFonts w:ascii="黑体" w:hAnsi="黑体" w:eastAsia="黑体" w:cs="仿宋_GB2312"/>
                <w:b/>
                <w:sz w:val="21"/>
                <w:szCs w:val="21"/>
              </w:rPr>
            </w:pPr>
            <w:r>
              <w:rPr>
                <w:rFonts w:hint="eastAsia" w:ascii="黑体" w:hAnsi="黑体" w:eastAsia="黑体" w:cs="仿宋_GB2312"/>
                <w:b/>
                <w:sz w:val="21"/>
                <w:szCs w:val="21"/>
                <w:lang w:bidi="ar"/>
              </w:rPr>
              <w:t>事项类别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68" w:type="dxa"/>
            <w:vMerge w:val="restart"/>
            <w:noWrap w:val="0"/>
            <w:vAlign w:val="center"/>
          </w:tcPr>
          <w:p>
            <w:pPr>
              <w:spacing w:line="240" w:lineRule="exact"/>
              <w:jc w:val="center"/>
              <w:textAlignment w:val="center"/>
              <w:rPr>
                <w:rFonts w:ascii="仿宋_GB2312" w:hAnsi="仿宋_GB2312" w:eastAsia="仿宋_GB2312" w:cs="仿宋_GB2312"/>
                <w:b/>
                <w:sz w:val="21"/>
                <w:szCs w:val="21"/>
              </w:rPr>
            </w:pPr>
            <w:r>
              <w:rPr>
                <w:rFonts w:ascii="仿宋_GB2312" w:hAnsi="仿宋_GB2312" w:eastAsia="仿宋_GB2312" w:cs="仿宋_GB2312"/>
                <w:b/>
                <w:sz w:val="21"/>
                <w:szCs w:val="21"/>
                <w:lang w:bidi="ar"/>
              </w:rPr>
              <w:t>1</w:t>
            </w:r>
          </w:p>
        </w:tc>
        <w:tc>
          <w:tcPr>
            <w:tcW w:w="2160" w:type="dxa"/>
            <w:vMerge w:val="restart"/>
            <w:noWrap w:val="0"/>
            <w:vAlign w:val="center"/>
          </w:tcPr>
          <w:p>
            <w:pPr>
              <w:spacing w:line="240" w:lineRule="exact"/>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个体工商户登记</w:t>
            </w:r>
          </w:p>
        </w:tc>
        <w:tc>
          <w:tcPr>
            <w:tcW w:w="1785" w:type="dxa"/>
            <w:noWrap w:val="0"/>
            <w:vAlign w:val="center"/>
          </w:tcPr>
          <w:p>
            <w:pPr>
              <w:spacing w:line="240" w:lineRule="exact"/>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个体工商户设立</w:t>
            </w:r>
          </w:p>
        </w:tc>
        <w:tc>
          <w:tcPr>
            <w:tcW w:w="7440" w:type="dxa"/>
            <w:vMerge w:val="restart"/>
            <w:noWrap w:val="0"/>
            <w:vAlign w:val="center"/>
          </w:tcPr>
          <w:p>
            <w:pPr>
              <w:spacing w:line="240" w:lineRule="exact"/>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《个体工商户条例》</w:t>
            </w:r>
            <w:r>
              <w:rPr>
                <w:rFonts w:ascii="仿宋_GB2312" w:hAnsi="仿宋_GB2312" w:eastAsia="仿宋_GB2312" w:cs="仿宋_GB2312"/>
                <w:b/>
                <w:sz w:val="21"/>
                <w:szCs w:val="21"/>
              </w:rPr>
              <w:t>(2011</w:t>
            </w:r>
            <w:r>
              <w:rPr>
                <w:rFonts w:hint="eastAsia" w:ascii="仿宋_GB2312" w:hAnsi="仿宋_GB2312" w:eastAsia="仿宋_GB2312" w:cs="仿宋_GB2312"/>
                <w:b/>
                <w:sz w:val="21"/>
                <w:szCs w:val="21"/>
              </w:rPr>
              <w:t>年</w:t>
            </w:r>
            <w:r>
              <w:rPr>
                <w:rFonts w:ascii="仿宋_GB2312" w:hAnsi="仿宋_GB2312" w:eastAsia="仿宋_GB2312" w:cs="仿宋_GB2312"/>
                <w:b/>
                <w:sz w:val="21"/>
                <w:szCs w:val="21"/>
              </w:rPr>
              <w:t>3</w:t>
            </w:r>
            <w:r>
              <w:rPr>
                <w:rFonts w:hint="eastAsia" w:ascii="仿宋_GB2312" w:hAnsi="仿宋_GB2312" w:eastAsia="仿宋_GB2312" w:cs="仿宋_GB2312"/>
                <w:b/>
                <w:sz w:val="21"/>
                <w:szCs w:val="21"/>
              </w:rPr>
              <w:t>月</w:t>
            </w:r>
            <w:r>
              <w:rPr>
                <w:rFonts w:ascii="仿宋_GB2312" w:hAnsi="仿宋_GB2312" w:eastAsia="仿宋_GB2312" w:cs="仿宋_GB2312"/>
                <w:b/>
                <w:sz w:val="21"/>
                <w:szCs w:val="21"/>
              </w:rPr>
              <w:t>30</w:t>
            </w:r>
            <w:r>
              <w:rPr>
                <w:rFonts w:hint="eastAsia" w:ascii="仿宋_GB2312" w:hAnsi="仿宋_GB2312" w:eastAsia="仿宋_GB2312" w:cs="仿宋_GB2312"/>
                <w:b/>
                <w:sz w:val="21"/>
                <w:szCs w:val="21"/>
              </w:rPr>
              <w:t>日国务院令第</w:t>
            </w:r>
            <w:r>
              <w:rPr>
                <w:rFonts w:ascii="仿宋_GB2312" w:hAnsi="仿宋_GB2312" w:eastAsia="仿宋_GB2312" w:cs="仿宋_GB2312"/>
                <w:b/>
                <w:sz w:val="21"/>
                <w:szCs w:val="21"/>
              </w:rPr>
              <w:t>596</w:t>
            </w:r>
            <w:r>
              <w:rPr>
                <w:rFonts w:hint="eastAsia" w:ascii="仿宋_GB2312" w:hAnsi="仿宋_GB2312" w:eastAsia="仿宋_GB2312" w:cs="仿宋_GB2312"/>
                <w:b/>
                <w:sz w:val="21"/>
                <w:szCs w:val="21"/>
              </w:rPr>
              <w:t>号发布</w:t>
            </w:r>
            <w:r>
              <w:rPr>
                <w:rFonts w:ascii="仿宋_GB2312" w:hAnsi="仿宋_GB2312" w:eastAsia="仿宋_GB2312" w:cs="仿宋_GB2312"/>
                <w:b/>
                <w:sz w:val="21"/>
                <w:szCs w:val="21"/>
              </w:rPr>
              <w:t>)</w:t>
            </w:r>
            <w:r>
              <w:rPr>
                <w:rFonts w:hint="eastAsia" w:ascii="仿宋_GB2312" w:hAnsi="仿宋_GB2312" w:eastAsia="仿宋_GB2312" w:cs="仿宋_GB2312"/>
                <w:b/>
                <w:sz w:val="21"/>
                <w:szCs w:val="21"/>
              </w:rPr>
              <w:t>第三条：县、自治县、不设区的市、市辖区工商行政管理部门为个体工商户的登记机关（以下简称登记机关）。登记机关按照国务院工商行政管理部门的规定，可以委托其下属工商行政管理所办理个体工商户登记。</w:t>
            </w:r>
          </w:p>
        </w:tc>
        <w:tc>
          <w:tcPr>
            <w:tcW w:w="1118" w:type="dxa"/>
            <w:vMerge w:val="restart"/>
            <w:noWrap w:val="0"/>
            <w:vAlign w:val="center"/>
          </w:tcPr>
          <w:p>
            <w:pPr>
              <w:spacing w:line="240" w:lineRule="exact"/>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68" w:type="dxa"/>
            <w:vMerge w:val="continue"/>
            <w:noWrap w:val="0"/>
            <w:vAlign w:val="center"/>
          </w:tcPr>
          <w:p>
            <w:pPr>
              <w:spacing w:line="240" w:lineRule="exact"/>
              <w:jc w:val="center"/>
              <w:rPr>
                <w:rFonts w:ascii="仿宋_GB2312" w:hAnsi="仿宋_GB2312" w:eastAsia="仿宋_GB2312" w:cs="仿宋_GB2312"/>
                <w:b/>
                <w:sz w:val="21"/>
                <w:szCs w:val="21"/>
              </w:rPr>
            </w:pPr>
          </w:p>
        </w:tc>
        <w:tc>
          <w:tcPr>
            <w:tcW w:w="2160" w:type="dxa"/>
            <w:vMerge w:val="continue"/>
            <w:noWrap w:val="0"/>
            <w:vAlign w:val="center"/>
          </w:tcPr>
          <w:p>
            <w:pPr>
              <w:spacing w:line="240" w:lineRule="exact"/>
              <w:rPr>
                <w:rFonts w:ascii="仿宋_GB2312" w:hAnsi="仿宋_GB2312" w:eastAsia="仿宋_GB2312" w:cs="仿宋_GB2312"/>
                <w:b/>
                <w:sz w:val="21"/>
                <w:szCs w:val="21"/>
              </w:rPr>
            </w:pPr>
          </w:p>
        </w:tc>
        <w:tc>
          <w:tcPr>
            <w:tcW w:w="1785" w:type="dxa"/>
            <w:noWrap w:val="0"/>
            <w:vAlign w:val="center"/>
          </w:tcPr>
          <w:p>
            <w:pPr>
              <w:spacing w:line="240" w:lineRule="exact"/>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个体工商户变更</w:t>
            </w:r>
          </w:p>
        </w:tc>
        <w:tc>
          <w:tcPr>
            <w:tcW w:w="7440" w:type="dxa"/>
            <w:vMerge w:val="continue"/>
            <w:noWrap w:val="0"/>
            <w:vAlign w:val="center"/>
          </w:tcPr>
          <w:p>
            <w:pPr>
              <w:spacing w:line="240" w:lineRule="exact"/>
              <w:rPr>
                <w:rFonts w:ascii="仿宋_GB2312" w:hAnsi="仿宋_GB2312" w:eastAsia="仿宋_GB2312" w:cs="仿宋_GB2312"/>
                <w:b/>
                <w:sz w:val="21"/>
                <w:szCs w:val="21"/>
              </w:rPr>
            </w:pPr>
          </w:p>
        </w:tc>
        <w:tc>
          <w:tcPr>
            <w:tcW w:w="1118" w:type="dxa"/>
            <w:vMerge w:val="continue"/>
            <w:noWrap w:val="0"/>
            <w:vAlign w:val="center"/>
          </w:tcPr>
          <w:p>
            <w:pPr>
              <w:spacing w:line="240" w:lineRule="exact"/>
              <w:jc w:val="center"/>
              <w:rPr>
                <w:rFonts w:ascii="仿宋_GB2312" w:hAnsi="仿宋_GB2312" w:eastAsia="仿宋_GB2312" w:cs="仿宋_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68" w:type="dxa"/>
            <w:vMerge w:val="continue"/>
            <w:noWrap w:val="0"/>
            <w:vAlign w:val="center"/>
          </w:tcPr>
          <w:p>
            <w:pPr>
              <w:spacing w:line="240" w:lineRule="exact"/>
              <w:jc w:val="center"/>
              <w:rPr>
                <w:rFonts w:ascii="仿宋_GB2312" w:hAnsi="仿宋_GB2312" w:eastAsia="仿宋_GB2312" w:cs="仿宋_GB2312"/>
                <w:b/>
                <w:sz w:val="21"/>
                <w:szCs w:val="21"/>
              </w:rPr>
            </w:pPr>
          </w:p>
        </w:tc>
        <w:tc>
          <w:tcPr>
            <w:tcW w:w="2160" w:type="dxa"/>
            <w:vMerge w:val="continue"/>
            <w:noWrap w:val="0"/>
            <w:vAlign w:val="center"/>
          </w:tcPr>
          <w:p>
            <w:pPr>
              <w:spacing w:line="240" w:lineRule="exact"/>
              <w:rPr>
                <w:rFonts w:ascii="仿宋_GB2312" w:hAnsi="仿宋_GB2312" w:eastAsia="仿宋_GB2312" w:cs="仿宋_GB2312"/>
                <w:b/>
                <w:sz w:val="21"/>
                <w:szCs w:val="21"/>
              </w:rPr>
            </w:pPr>
          </w:p>
        </w:tc>
        <w:tc>
          <w:tcPr>
            <w:tcW w:w="1785" w:type="dxa"/>
            <w:noWrap w:val="0"/>
            <w:vAlign w:val="center"/>
          </w:tcPr>
          <w:p>
            <w:pPr>
              <w:spacing w:line="240" w:lineRule="exact"/>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个体工商户注销</w:t>
            </w:r>
          </w:p>
        </w:tc>
        <w:tc>
          <w:tcPr>
            <w:tcW w:w="7440" w:type="dxa"/>
            <w:vMerge w:val="continue"/>
            <w:noWrap w:val="0"/>
            <w:vAlign w:val="center"/>
          </w:tcPr>
          <w:p>
            <w:pPr>
              <w:spacing w:line="240" w:lineRule="exact"/>
              <w:rPr>
                <w:rFonts w:ascii="仿宋_GB2312" w:hAnsi="仿宋_GB2312" w:eastAsia="仿宋_GB2312" w:cs="仿宋_GB2312"/>
                <w:b/>
                <w:sz w:val="21"/>
                <w:szCs w:val="21"/>
              </w:rPr>
            </w:pPr>
          </w:p>
        </w:tc>
        <w:tc>
          <w:tcPr>
            <w:tcW w:w="1118" w:type="dxa"/>
            <w:vMerge w:val="continue"/>
            <w:noWrap w:val="0"/>
            <w:vAlign w:val="center"/>
          </w:tcPr>
          <w:p>
            <w:pPr>
              <w:spacing w:line="240" w:lineRule="exact"/>
              <w:jc w:val="center"/>
              <w:rPr>
                <w:rFonts w:ascii="仿宋_GB2312" w:hAnsi="仿宋_GB2312" w:eastAsia="仿宋_GB2312" w:cs="仿宋_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spacing w:line="240" w:lineRule="exact"/>
              <w:jc w:val="center"/>
              <w:textAlignment w:val="center"/>
              <w:rPr>
                <w:rFonts w:ascii="仿宋_GB2312" w:hAnsi="仿宋_GB2312" w:eastAsia="仿宋_GB2312" w:cs="仿宋_GB2312"/>
                <w:b/>
                <w:sz w:val="21"/>
                <w:szCs w:val="21"/>
              </w:rPr>
            </w:pPr>
            <w:r>
              <w:rPr>
                <w:rFonts w:ascii="仿宋_GB2312" w:hAnsi="仿宋_GB2312" w:eastAsia="仿宋_GB2312" w:cs="仿宋_GB2312"/>
                <w:b/>
                <w:sz w:val="21"/>
                <w:szCs w:val="21"/>
                <w:lang w:bidi="ar"/>
              </w:rPr>
              <w:t>2</w:t>
            </w:r>
          </w:p>
        </w:tc>
        <w:tc>
          <w:tcPr>
            <w:tcW w:w="2160" w:type="dxa"/>
            <w:noWrap w:val="0"/>
            <w:vAlign w:val="center"/>
          </w:tcPr>
          <w:p>
            <w:pPr>
              <w:spacing w:line="240" w:lineRule="exact"/>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适龄儿童、少年因身体状况需要延缓入学或者休学审批</w:t>
            </w:r>
          </w:p>
        </w:tc>
        <w:tc>
          <w:tcPr>
            <w:tcW w:w="1785" w:type="dxa"/>
            <w:noWrap w:val="0"/>
            <w:vAlign w:val="center"/>
          </w:tcPr>
          <w:p>
            <w:pPr>
              <w:spacing w:line="240" w:lineRule="exact"/>
              <w:jc w:val="center"/>
              <w:rPr>
                <w:rFonts w:ascii="仿宋_GB2312" w:hAnsi="仿宋_GB2312" w:eastAsia="仿宋_GB2312" w:cs="仿宋_GB2312"/>
                <w:b/>
                <w:sz w:val="21"/>
                <w:szCs w:val="21"/>
              </w:rPr>
            </w:pPr>
          </w:p>
        </w:tc>
        <w:tc>
          <w:tcPr>
            <w:tcW w:w="7440" w:type="dxa"/>
            <w:noWrap w:val="0"/>
            <w:vAlign w:val="center"/>
          </w:tcPr>
          <w:p>
            <w:pPr>
              <w:spacing w:line="240" w:lineRule="exact"/>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《中华人民共和国义务教育法》</w:t>
            </w:r>
            <w:r>
              <w:rPr>
                <w:rFonts w:ascii="仿宋_GB2312" w:hAnsi="仿宋_GB2312" w:eastAsia="仿宋_GB2312" w:cs="仿宋_GB2312"/>
                <w:b/>
                <w:sz w:val="21"/>
                <w:szCs w:val="21"/>
                <w:lang w:bidi="ar"/>
              </w:rPr>
              <w:t>(2015</w:t>
            </w:r>
            <w:r>
              <w:rPr>
                <w:rFonts w:hint="eastAsia" w:ascii="仿宋_GB2312" w:hAnsi="仿宋_GB2312" w:eastAsia="仿宋_GB2312" w:cs="仿宋_GB2312"/>
                <w:b/>
                <w:sz w:val="21"/>
                <w:szCs w:val="21"/>
                <w:lang w:bidi="ar"/>
              </w:rPr>
              <w:t>年</w:t>
            </w:r>
            <w:r>
              <w:rPr>
                <w:rFonts w:ascii="仿宋_GB2312" w:hAnsi="仿宋_GB2312" w:eastAsia="仿宋_GB2312" w:cs="仿宋_GB2312"/>
                <w:b/>
                <w:sz w:val="21"/>
                <w:szCs w:val="21"/>
                <w:lang w:bidi="ar"/>
              </w:rPr>
              <w:t>4</w:t>
            </w:r>
            <w:r>
              <w:rPr>
                <w:rFonts w:hint="eastAsia" w:ascii="仿宋_GB2312" w:hAnsi="仿宋_GB2312" w:eastAsia="仿宋_GB2312" w:cs="仿宋_GB2312"/>
                <w:b/>
                <w:sz w:val="21"/>
                <w:szCs w:val="21"/>
                <w:lang w:bidi="ar"/>
              </w:rPr>
              <w:t>月</w:t>
            </w:r>
            <w:r>
              <w:rPr>
                <w:rFonts w:ascii="仿宋_GB2312" w:hAnsi="仿宋_GB2312" w:eastAsia="仿宋_GB2312" w:cs="仿宋_GB2312"/>
                <w:b/>
                <w:sz w:val="21"/>
                <w:szCs w:val="21"/>
                <w:lang w:bidi="ar"/>
              </w:rPr>
              <w:t>24</w:t>
            </w:r>
            <w:r>
              <w:rPr>
                <w:rFonts w:hint="eastAsia" w:ascii="仿宋_GB2312" w:hAnsi="仿宋_GB2312" w:eastAsia="仿宋_GB2312" w:cs="仿宋_GB2312"/>
                <w:b/>
                <w:sz w:val="21"/>
                <w:szCs w:val="21"/>
                <w:lang w:bidi="ar"/>
              </w:rPr>
              <w:t>日修正</w:t>
            </w:r>
            <w:r>
              <w:rPr>
                <w:rFonts w:ascii="仿宋_GB2312" w:hAnsi="仿宋_GB2312" w:eastAsia="仿宋_GB2312" w:cs="仿宋_GB2312"/>
                <w:b/>
                <w:sz w:val="21"/>
                <w:szCs w:val="21"/>
                <w:lang w:bidi="ar"/>
              </w:rPr>
              <w:t>)</w:t>
            </w:r>
            <w:r>
              <w:rPr>
                <w:rFonts w:hint="eastAsia" w:ascii="仿宋_GB2312" w:hAnsi="仿宋_GB2312" w:eastAsia="仿宋_GB2312" w:cs="仿宋_GB2312"/>
                <w:b/>
                <w:sz w:val="21"/>
                <w:szCs w:val="21"/>
                <w:lang w:bidi="ar"/>
              </w:rPr>
              <w:t>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tc>
        <w:tc>
          <w:tcPr>
            <w:tcW w:w="1118" w:type="dxa"/>
            <w:noWrap w:val="0"/>
            <w:vAlign w:val="center"/>
          </w:tcPr>
          <w:p>
            <w:pPr>
              <w:spacing w:line="240" w:lineRule="exact"/>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spacing w:line="240" w:lineRule="exact"/>
              <w:jc w:val="center"/>
              <w:textAlignment w:val="center"/>
              <w:rPr>
                <w:rFonts w:ascii="仿宋_GB2312" w:hAnsi="仿宋_GB2312" w:eastAsia="仿宋_GB2312" w:cs="仿宋_GB2312"/>
                <w:b/>
                <w:sz w:val="21"/>
                <w:szCs w:val="21"/>
              </w:rPr>
            </w:pPr>
            <w:r>
              <w:rPr>
                <w:rFonts w:ascii="仿宋_GB2312" w:hAnsi="仿宋_GB2312" w:eastAsia="仿宋_GB2312" w:cs="仿宋_GB2312"/>
                <w:b/>
                <w:sz w:val="21"/>
                <w:szCs w:val="21"/>
                <w:lang w:bidi="ar"/>
              </w:rPr>
              <w:t>3</w:t>
            </w:r>
          </w:p>
        </w:tc>
        <w:tc>
          <w:tcPr>
            <w:tcW w:w="2160" w:type="dxa"/>
            <w:noWrap w:val="0"/>
            <w:vAlign w:val="center"/>
          </w:tcPr>
          <w:p>
            <w:pPr>
              <w:spacing w:line="240" w:lineRule="exact"/>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个人之间、个人与单位之间发生的林木所有权和林地使用权争议处理</w:t>
            </w:r>
          </w:p>
        </w:tc>
        <w:tc>
          <w:tcPr>
            <w:tcW w:w="1785" w:type="dxa"/>
            <w:noWrap w:val="0"/>
            <w:vAlign w:val="center"/>
          </w:tcPr>
          <w:p>
            <w:pPr>
              <w:spacing w:line="240" w:lineRule="exact"/>
              <w:jc w:val="center"/>
              <w:rPr>
                <w:rFonts w:ascii="仿宋_GB2312" w:hAnsi="仿宋_GB2312" w:eastAsia="仿宋_GB2312" w:cs="仿宋_GB2312"/>
                <w:b/>
                <w:sz w:val="21"/>
                <w:szCs w:val="21"/>
              </w:rPr>
            </w:pPr>
          </w:p>
        </w:tc>
        <w:tc>
          <w:tcPr>
            <w:tcW w:w="7440" w:type="dxa"/>
            <w:noWrap w:val="0"/>
            <w:vAlign w:val="center"/>
          </w:tcPr>
          <w:p>
            <w:pPr>
              <w:spacing w:line="240" w:lineRule="exact"/>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《中华人民共和国森林法》</w:t>
            </w:r>
            <w:r>
              <w:rPr>
                <w:rFonts w:ascii="仿宋_GB2312" w:hAnsi="仿宋_GB2312" w:eastAsia="仿宋_GB2312" w:cs="仿宋_GB2312"/>
                <w:b/>
                <w:sz w:val="21"/>
                <w:szCs w:val="21"/>
                <w:lang w:bidi="ar"/>
              </w:rPr>
              <w:t>(2009</w:t>
            </w:r>
            <w:r>
              <w:rPr>
                <w:rFonts w:hint="eastAsia" w:ascii="仿宋_GB2312" w:hAnsi="仿宋_GB2312" w:eastAsia="仿宋_GB2312" w:cs="仿宋_GB2312"/>
                <w:b/>
                <w:sz w:val="21"/>
                <w:szCs w:val="21"/>
                <w:lang w:bidi="ar"/>
              </w:rPr>
              <w:t>年</w:t>
            </w:r>
            <w:r>
              <w:rPr>
                <w:rFonts w:ascii="仿宋_GB2312" w:hAnsi="仿宋_GB2312" w:eastAsia="仿宋_GB2312" w:cs="仿宋_GB2312"/>
                <w:b/>
                <w:sz w:val="21"/>
                <w:szCs w:val="21"/>
                <w:lang w:bidi="ar"/>
              </w:rPr>
              <w:t>8</w:t>
            </w:r>
            <w:r>
              <w:rPr>
                <w:rFonts w:hint="eastAsia" w:ascii="仿宋_GB2312" w:hAnsi="仿宋_GB2312" w:eastAsia="仿宋_GB2312" w:cs="仿宋_GB2312"/>
                <w:b/>
                <w:sz w:val="21"/>
                <w:szCs w:val="21"/>
                <w:lang w:bidi="ar"/>
              </w:rPr>
              <w:t>月</w:t>
            </w:r>
            <w:r>
              <w:rPr>
                <w:rFonts w:ascii="仿宋_GB2312" w:hAnsi="仿宋_GB2312" w:eastAsia="仿宋_GB2312" w:cs="仿宋_GB2312"/>
                <w:b/>
                <w:sz w:val="21"/>
                <w:szCs w:val="21"/>
                <w:lang w:bidi="ar"/>
              </w:rPr>
              <w:t>27</w:t>
            </w:r>
            <w:r>
              <w:rPr>
                <w:rFonts w:hint="eastAsia" w:ascii="仿宋_GB2312" w:hAnsi="仿宋_GB2312" w:eastAsia="仿宋_GB2312" w:cs="仿宋_GB2312"/>
                <w:b/>
                <w:sz w:val="21"/>
                <w:szCs w:val="21"/>
                <w:lang w:bidi="ar"/>
              </w:rPr>
              <w:t>日修改</w:t>
            </w:r>
            <w:r>
              <w:rPr>
                <w:rFonts w:ascii="仿宋_GB2312" w:hAnsi="仿宋_GB2312" w:eastAsia="仿宋_GB2312" w:cs="仿宋_GB2312"/>
                <w:b/>
                <w:sz w:val="21"/>
                <w:szCs w:val="21"/>
                <w:lang w:bidi="ar"/>
              </w:rPr>
              <w:t>)</w:t>
            </w:r>
            <w:r>
              <w:rPr>
                <w:rFonts w:hint="eastAsia" w:ascii="仿宋_GB2312" w:hAnsi="仿宋_GB2312" w:eastAsia="仿宋_GB2312" w:cs="仿宋_GB2312"/>
                <w:b/>
                <w:sz w:val="21"/>
                <w:szCs w:val="21"/>
                <w:lang w:bidi="ar"/>
              </w:rPr>
              <w:t>第十七条：个人之间、个人与单位之间发生的林木所有权和林地使用权争议，由当地县级或者乡级人民政府依法处理。</w:t>
            </w:r>
          </w:p>
        </w:tc>
        <w:tc>
          <w:tcPr>
            <w:tcW w:w="1118" w:type="dxa"/>
            <w:noWrap w:val="0"/>
            <w:vAlign w:val="center"/>
          </w:tcPr>
          <w:p>
            <w:pPr>
              <w:spacing w:line="240" w:lineRule="exact"/>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spacing w:line="240" w:lineRule="exact"/>
              <w:jc w:val="center"/>
              <w:textAlignment w:val="center"/>
              <w:rPr>
                <w:rFonts w:ascii="仿宋_GB2312" w:hAnsi="仿宋_GB2312" w:eastAsia="仿宋_GB2312" w:cs="仿宋_GB2312"/>
                <w:b/>
                <w:sz w:val="21"/>
                <w:szCs w:val="21"/>
              </w:rPr>
            </w:pPr>
            <w:r>
              <w:rPr>
                <w:rFonts w:ascii="仿宋_GB2312" w:hAnsi="仿宋_GB2312" w:eastAsia="仿宋_GB2312" w:cs="仿宋_GB2312"/>
                <w:b/>
                <w:sz w:val="21"/>
                <w:szCs w:val="21"/>
                <w:lang w:bidi="ar"/>
              </w:rPr>
              <w:t>4</w:t>
            </w:r>
          </w:p>
        </w:tc>
        <w:tc>
          <w:tcPr>
            <w:tcW w:w="2160" w:type="dxa"/>
            <w:noWrap w:val="0"/>
            <w:vAlign w:val="center"/>
          </w:tcPr>
          <w:p>
            <w:pPr>
              <w:spacing w:line="240" w:lineRule="exact"/>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受委托发放种苗造林补助费</w:t>
            </w:r>
          </w:p>
        </w:tc>
        <w:tc>
          <w:tcPr>
            <w:tcW w:w="1785" w:type="dxa"/>
            <w:noWrap w:val="0"/>
            <w:vAlign w:val="center"/>
          </w:tcPr>
          <w:p>
            <w:pPr>
              <w:spacing w:line="240" w:lineRule="exact"/>
              <w:jc w:val="center"/>
              <w:rPr>
                <w:rFonts w:ascii="仿宋_GB2312" w:hAnsi="仿宋_GB2312" w:eastAsia="仿宋_GB2312" w:cs="仿宋_GB2312"/>
                <w:b/>
                <w:sz w:val="21"/>
                <w:szCs w:val="21"/>
              </w:rPr>
            </w:pPr>
          </w:p>
        </w:tc>
        <w:tc>
          <w:tcPr>
            <w:tcW w:w="7440" w:type="dxa"/>
            <w:noWrap w:val="0"/>
            <w:vAlign w:val="center"/>
          </w:tcPr>
          <w:p>
            <w:pPr>
              <w:spacing w:line="240" w:lineRule="exact"/>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《退耕还林条例》</w:t>
            </w:r>
            <w:r>
              <w:rPr>
                <w:rFonts w:ascii="仿宋_GB2312" w:hAnsi="仿宋_GB2312" w:eastAsia="仿宋_GB2312" w:cs="仿宋_GB2312"/>
                <w:b/>
                <w:sz w:val="21"/>
                <w:szCs w:val="21"/>
                <w:lang w:bidi="ar"/>
              </w:rPr>
              <w:t>(2016</w:t>
            </w:r>
            <w:r>
              <w:rPr>
                <w:rFonts w:hint="eastAsia" w:ascii="仿宋_GB2312" w:hAnsi="仿宋_GB2312" w:eastAsia="仿宋_GB2312" w:cs="仿宋_GB2312"/>
                <w:b/>
                <w:sz w:val="21"/>
                <w:szCs w:val="21"/>
                <w:lang w:bidi="ar"/>
              </w:rPr>
              <w:t>年</w:t>
            </w:r>
            <w:r>
              <w:rPr>
                <w:rFonts w:ascii="仿宋_GB2312" w:hAnsi="仿宋_GB2312" w:eastAsia="仿宋_GB2312" w:cs="仿宋_GB2312"/>
                <w:b/>
                <w:sz w:val="21"/>
                <w:szCs w:val="21"/>
                <w:lang w:bidi="ar"/>
              </w:rPr>
              <w:t>2</w:t>
            </w:r>
            <w:r>
              <w:rPr>
                <w:rFonts w:hint="eastAsia" w:ascii="仿宋_GB2312" w:hAnsi="仿宋_GB2312" w:eastAsia="仿宋_GB2312" w:cs="仿宋_GB2312"/>
                <w:b/>
                <w:sz w:val="21"/>
                <w:szCs w:val="21"/>
                <w:lang w:bidi="ar"/>
              </w:rPr>
              <w:t>月</w:t>
            </w:r>
            <w:r>
              <w:rPr>
                <w:rFonts w:ascii="仿宋_GB2312" w:hAnsi="仿宋_GB2312" w:eastAsia="仿宋_GB2312" w:cs="仿宋_GB2312"/>
                <w:b/>
                <w:sz w:val="21"/>
                <w:szCs w:val="21"/>
                <w:lang w:bidi="ar"/>
              </w:rPr>
              <w:t>6</w:t>
            </w:r>
            <w:r>
              <w:rPr>
                <w:rFonts w:hint="eastAsia" w:ascii="仿宋_GB2312" w:hAnsi="仿宋_GB2312" w:eastAsia="仿宋_GB2312" w:cs="仿宋_GB2312"/>
                <w:b/>
                <w:sz w:val="21"/>
                <w:szCs w:val="21"/>
                <w:lang w:bidi="ar"/>
              </w:rPr>
              <w:t>日修订）第四十二条：退耕还林者自行采购种苗的，县级人民政府或者其委托的乡级人民政府应当在退耕还林合同生效时一次付清种苗造林补助费。</w:t>
            </w:r>
          </w:p>
        </w:tc>
        <w:tc>
          <w:tcPr>
            <w:tcW w:w="1118" w:type="dxa"/>
            <w:noWrap w:val="0"/>
            <w:vAlign w:val="center"/>
          </w:tcPr>
          <w:p>
            <w:pPr>
              <w:spacing w:line="240" w:lineRule="exact"/>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spacing w:line="240" w:lineRule="exact"/>
              <w:jc w:val="center"/>
              <w:textAlignment w:val="center"/>
              <w:rPr>
                <w:rFonts w:ascii="仿宋_GB2312" w:hAnsi="仿宋_GB2312" w:eastAsia="仿宋_GB2312" w:cs="仿宋_GB2312"/>
                <w:b/>
                <w:sz w:val="21"/>
                <w:szCs w:val="21"/>
              </w:rPr>
            </w:pPr>
            <w:r>
              <w:rPr>
                <w:rFonts w:ascii="仿宋_GB2312" w:hAnsi="仿宋_GB2312" w:eastAsia="仿宋_GB2312" w:cs="仿宋_GB2312"/>
                <w:b/>
                <w:sz w:val="21"/>
                <w:szCs w:val="21"/>
                <w:lang w:bidi="ar"/>
              </w:rPr>
              <w:t>5</w:t>
            </w:r>
          </w:p>
        </w:tc>
        <w:tc>
          <w:tcPr>
            <w:tcW w:w="2160" w:type="dxa"/>
            <w:noWrap w:val="0"/>
            <w:vAlign w:val="center"/>
          </w:tcPr>
          <w:p>
            <w:pPr>
              <w:spacing w:line="240" w:lineRule="exact"/>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救灾捐赠款物的组织代收</w:t>
            </w:r>
          </w:p>
        </w:tc>
        <w:tc>
          <w:tcPr>
            <w:tcW w:w="1785" w:type="dxa"/>
            <w:noWrap w:val="0"/>
            <w:vAlign w:val="center"/>
          </w:tcPr>
          <w:p>
            <w:pPr>
              <w:spacing w:line="240" w:lineRule="exact"/>
              <w:jc w:val="center"/>
              <w:rPr>
                <w:rFonts w:ascii="仿宋_GB2312" w:hAnsi="仿宋_GB2312" w:eastAsia="仿宋_GB2312" w:cs="仿宋_GB2312"/>
                <w:b/>
                <w:sz w:val="21"/>
                <w:szCs w:val="21"/>
              </w:rPr>
            </w:pPr>
          </w:p>
        </w:tc>
        <w:tc>
          <w:tcPr>
            <w:tcW w:w="7440" w:type="dxa"/>
            <w:noWrap w:val="0"/>
            <w:vAlign w:val="center"/>
          </w:tcPr>
          <w:p>
            <w:pPr>
              <w:spacing w:line="240" w:lineRule="exact"/>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《救灾捐赠管理办法》</w:t>
            </w:r>
            <w:r>
              <w:rPr>
                <w:rFonts w:ascii="仿宋_GB2312" w:hAnsi="仿宋_GB2312" w:eastAsia="仿宋_GB2312" w:cs="仿宋_GB2312"/>
                <w:b/>
                <w:sz w:val="21"/>
                <w:szCs w:val="21"/>
                <w:lang w:bidi="ar"/>
              </w:rPr>
              <w:t>(2008</w:t>
            </w:r>
            <w:r>
              <w:rPr>
                <w:rFonts w:hint="eastAsia" w:ascii="仿宋_GB2312" w:hAnsi="仿宋_GB2312" w:eastAsia="仿宋_GB2312" w:cs="仿宋_GB2312"/>
                <w:b/>
                <w:sz w:val="21"/>
                <w:szCs w:val="21"/>
                <w:lang w:bidi="ar"/>
              </w:rPr>
              <w:t>年民政部令第</w:t>
            </w:r>
            <w:r>
              <w:rPr>
                <w:rFonts w:ascii="仿宋_GB2312" w:hAnsi="仿宋_GB2312" w:eastAsia="仿宋_GB2312" w:cs="仿宋_GB2312"/>
                <w:b/>
                <w:sz w:val="21"/>
                <w:szCs w:val="21"/>
                <w:lang w:bidi="ar"/>
              </w:rPr>
              <w:t>35</w:t>
            </w:r>
            <w:r>
              <w:rPr>
                <w:rFonts w:hint="eastAsia" w:ascii="仿宋_GB2312" w:hAnsi="仿宋_GB2312" w:eastAsia="仿宋_GB2312" w:cs="仿宋_GB2312"/>
                <w:b/>
                <w:sz w:val="21"/>
                <w:szCs w:val="21"/>
                <w:lang w:bidi="ar"/>
              </w:rPr>
              <w:t>号</w:t>
            </w:r>
            <w:r>
              <w:rPr>
                <w:rFonts w:ascii="仿宋_GB2312" w:hAnsi="仿宋_GB2312" w:eastAsia="仿宋_GB2312" w:cs="仿宋_GB2312"/>
                <w:b/>
                <w:sz w:val="21"/>
                <w:szCs w:val="21"/>
                <w:lang w:bidi="ar"/>
              </w:rPr>
              <w:t>)</w:t>
            </w:r>
            <w:r>
              <w:rPr>
                <w:rFonts w:hint="eastAsia" w:ascii="仿宋_GB2312" w:hAnsi="仿宋_GB2312" w:eastAsia="仿宋_GB2312" w:cs="仿宋_GB2312"/>
                <w:b/>
                <w:sz w:val="21"/>
                <w:szCs w:val="21"/>
                <w:lang w:bidi="ar"/>
              </w:rPr>
              <w:t>第十一条：县级以上人民政府民政部门接受救灾捐赠款物，根据工作需要可以指定社会捐助接收机构、具有救灾宗旨的公益性民间组织组织实施。乡镇人民政府、城市街道办事处受县（县级市、市辖区</w:t>
            </w:r>
            <w:r>
              <w:rPr>
                <w:rFonts w:ascii="仿宋_GB2312" w:hAnsi="仿宋_GB2312" w:eastAsia="仿宋_GB2312" w:cs="仿宋_GB2312"/>
                <w:b/>
                <w:sz w:val="21"/>
                <w:szCs w:val="21"/>
                <w:lang w:bidi="ar"/>
              </w:rPr>
              <w:t>)</w:t>
            </w:r>
            <w:r>
              <w:rPr>
                <w:rFonts w:hint="eastAsia" w:ascii="仿宋_GB2312" w:hAnsi="仿宋_GB2312" w:eastAsia="仿宋_GB2312" w:cs="仿宋_GB2312"/>
                <w:b/>
                <w:sz w:val="21"/>
                <w:szCs w:val="21"/>
                <w:lang w:bidi="ar"/>
              </w:rPr>
              <w:t>人民政府委托，可以组织代收本行政区域内村民、居民及驻在单位的救灾捐赠款物。代收的捐赠款物应当及时转交救灾捐赠受赠人。</w:t>
            </w:r>
          </w:p>
        </w:tc>
        <w:tc>
          <w:tcPr>
            <w:tcW w:w="1118" w:type="dxa"/>
            <w:noWrap w:val="0"/>
            <w:vAlign w:val="center"/>
          </w:tcPr>
          <w:p>
            <w:pPr>
              <w:spacing w:line="240" w:lineRule="exact"/>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spacing w:line="240" w:lineRule="exact"/>
              <w:jc w:val="center"/>
              <w:textAlignment w:val="center"/>
              <w:rPr>
                <w:rFonts w:hint="eastAsia" w:ascii="仿宋_GB2312" w:hAnsi="仿宋_GB2312" w:eastAsia="仿宋_GB2312" w:cs="仿宋_GB2312"/>
                <w:b/>
                <w:sz w:val="21"/>
                <w:szCs w:val="21"/>
                <w:lang w:bidi="ar"/>
              </w:rPr>
            </w:pPr>
          </w:p>
          <w:p>
            <w:pPr>
              <w:spacing w:line="240" w:lineRule="exact"/>
              <w:jc w:val="center"/>
              <w:textAlignment w:val="center"/>
              <w:rPr>
                <w:rFonts w:hint="eastAsia" w:ascii="仿宋_GB2312" w:hAnsi="仿宋_GB2312" w:eastAsia="仿宋_GB2312" w:cs="仿宋_GB2312"/>
                <w:b/>
                <w:sz w:val="21"/>
                <w:szCs w:val="21"/>
                <w:lang w:bidi="ar"/>
              </w:rPr>
            </w:pPr>
          </w:p>
          <w:p>
            <w:pPr>
              <w:spacing w:line="240" w:lineRule="exact"/>
              <w:jc w:val="center"/>
              <w:textAlignment w:val="center"/>
              <w:rPr>
                <w:rFonts w:ascii="仿宋_GB2312" w:hAnsi="仿宋_GB2312" w:eastAsia="仿宋_GB2312" w:cs="仿宋_GB2312"/>
                <w:b/>
                <w:sz w:val="21"/>
                <w:szCs w:val="21"/>
              </w:rPr>
            </w:pPr>
            <w:r>
              <w:rPr>
                <w:rFonts w:ascii="仿宋_GB2312" w:hAnsi="仿宋_GB2312" w:eastAsia="仿宋_GB2312" w:cs="仿宋_GB2312"/>
                <w:b/>
                <w:sz w:val="21"/>
                <w:szCs w:val="21"/>
                <w:lang w:bidi="ar"/>
              </w:rPr>
              <w:t>6</w:t>
            </w:r>
          </w:p>
        </w:tc>
        <w:tc>
          <w:tcPr>
            <w:tcW w:w="2160" w:type="dxa"/>
            <w:noWrap w:val="0"/>
            <w:vAlign w:val="center"/>
          </w:tcPr>
          <w:p>
            <w:pPr>
              <w:spacing w:line="240" w:lineRule="exact"/>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对本乡镇户籍生活无着流浪乞讨人员的救助及安置</w:t>
            </w:r>
          </w:p>
        </w:tc>
        <w:tc>
          <w:tcPr>
            <w:tcW w:w="1785" w:type="dxa"/>
            <w:noWrap w:val="0"/>
            <w:vAlign w:val="center"/>
          </w:tcPr>
          <w:p>
            <w:pPr>
              <w:spacing w:line="240" w:lineRule="exact"/>
              <w:jc w:val="center"/>
              <w:rPr>
                <w:rFonts w:ascii="仿宋_GB2312" w:hAnsi="仿宋_GB2312" w:eastAsia="仿宋_GB2312" w:cs="仿宋_GB2312"/>
                <w:b/>
                <w:sz w:val="21"/>
                <w:szCs w:val="21"/>
              </w:rPr>
            </w:pPr>
          </w:p>
        </w:tc>
        <w:tc>
          <w:tcPr>
            <w:tcW w:w="7440" w:type="dxa"/>
            <w:noWrap w:val="0"/>
            <w:vAlign w:val="center"/>
          </w:tcPr>
          <w:p>
            <w:pPr>
              <w:spacing w:line="240" w:lineRule="exact"/>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《城市生活无着的流浪乞讨人员救助管理办法实施细则》</w:t>
            </w:r>
            <w:r>
              <w:rPr>
                <w:rFonts w:ascii="仿宋_GB2312" w:hAnsi="仿宋_GB2312" w:eastAsia="仿宋_GB2312" w:cs="仿宋_GB2312"/>
                <w:b/>
                <w:sz w:val="21"/>
                <w:szCs w:val="21"/>
                <w:lang w:bidi="ar"/>
              </w:rPr>
              <w:t>(2003</w:t>
            </w:r>
            <w:r>
              <w:rPr>
                <w:rFonts w:hint="eastAsia" w:ascii="仿宋_GB2312" w:hAnsi="仿宋_GB2312" w:eastAsia="仿宋_GB2312" w:cs="仿宋_GB2312"/>
                <w:b/>
                <w:sz w:val="21"/>
                <w:szCs w:val="21"/>
                <w:lang w:bidi="ar"/>
              </w:rPr>
              <w:t>年民政部令第</w:t>
            </w:r>
            <w:r>
              <w:rPr>
                <w:rFonts w:ascii="仿宋_GB2312" w:hAnsi="仿宋_GB2312" w:eastAsia="仿宋_GB2312" w:cs="仿宋_GB2312"/>
                <w:b/>
                <w:sz w:val="21"/>
                <w:szCs w:val="21"/>
                <w:lang w:bidi="ar"/>
              </w:rPr>
              <w:t>24</w:t>
            </w:r>
            <w:r>
              <w:rPr>
                <w:rFonts w:hint="eastAsia" w:ascii="仿宋_GB2312" w:hAnsi="仿宋_GB2312" w:eastAsia="仿宋_GB2312" w:cs="仿宋_GB2312"/>
                <w:b/>
                <w:sz w:val="21"/>
                <w:szCs w:val="21"/>
                <w:lang w:bidi="ar"/>
              </w:rPr>
              <w:t>号）第十八条：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1118" w:type="dxa"/>
            <w:noWrap w:val="0"/>
            <w:vAlign w:val="center"/>
          </w:tcPr>
          <w:p>
            <w:pPr>
              <w:spacing w:line="240" w:lineRule="exact"/>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lang w:bidi="ar"/>
              </w:rPr>
              <w:t>其他权力</w:t>
            </w:r>
          </w:p>
        </w:tc>
      </w:tr>
    </w:tbl>
    <w:p>
      <w:bookmarkStart w:id="0" w:name="_GoBack"/>
      <w:bookmarkEnd w:id="0"/>
    </w:p>
    <w:sectPr>
      <w:pgSz w:w="16838" w:h="11906" w:orient="landscape"/>
      <w:pgMar w:top="1587" w:right="1984" w:bottom="147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D4905"/>
    <w:rsid w:val="7A5D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32"/>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rPr>
      <w:rFonts w:ascii="Times New Roman" w:hAnsi="Times New Roman"/>
    </w:rPr>
  </w:style>
  <w:style w:type="paragraph" w:styleId="3">
    <w:name w:val="Body Text"/>
    <w:basedOn w:val="1"/>
    <w:uiPriority w:val="0"/>
    <w:pPr>
      <w:spacing w:after="120"/>
    </w:pPr>
  </w:style>
  <w:style w:type="paragraph" w:styleId="4">
    <w:name w:val="footer"/>
    <w:basedOn w:val="1"/>
    <w:semiHidden/>
    <w:uiPriority w:val="0"/>
    <w:pPr>
      <w:tabs>
        <w:tab w:val="center" w:pos="4153"/>
        <w:tab w:val="right" w:pos="8306"/>
      </w:tabs>
      <w:snapToGrid w:val="0"/>
      <w:jc w:val="left"/>
    </w:pPr>
    <w:rPr>
      <w:sz w:val="18"/>
    </w:rPr>
  </w:style>
  <w:style w:type="paragraph" w:styleId="5">
    <w:name w:val="header"/>
    <w:basedOn w:val="1"/>
    <w:semiHidden/>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2021-09-28T01:18:00Z</dcterms:created>
  <dc:creator>临水沐阳</dc:creator>
  <cp:lastModifiedBy>临水沐阳</cp:lastModifiedBy>
  <dcterms:modified xsi:type="dcterms:W3CDTF">2021-09-28T01:19:13Z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