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沁县</w:t>
      </w:r>
      <w:r>
        <w:rPr>
          <w:rFonts w:hint="eastAsia" w:ascii="方正小标宋简体" w:hAnsi="方正小标宋简体" w:eastAsia="方正小标宋简体" w:cs="方正小标宋简体"/>
          <w:b w:val="0"/>
          <w:bCs/>
          <w:i w:val="0"/>
          <w:caps w:val="0"/>
          <w:color w:val="auto"/>
          <w:spacing w:val="0"/>
          <w:sz w:val="44"/>
          <w:szCs w:val="44"/>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rPr>
        <w:t>执法全过程记录信息调阅监督制度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rPr>
        <w:t>　　</w:t>
      </w:r>
      <w:r>
        <w:rPr>
          <w:rFonts w:hint="eastAsia" w:ascii="宋体" w:hAnsi="宋体" w:eastAsia="宋体" w:cs="宋体"/>
          <w:i w:val="0"/>
          <w:caps w:val="0"/>
          <w:color w:val="auto"/>
          <w:spacing w:val="0"/>
          <w:sz w:val="24"/>
          <w:szCs w:val="24"/>
          <w:lang w:val="en-US"/>
        </w:rPr>
        <w:t> </w:t>
      </w:r>
      <w:r>
        <w:rPr>
          <w:rFonts w:hint="eastAsia" w:ascii="宋体" w:hAnsi="宋体" w:eastAsia="宋体" w:cs="宋体"/>
          <w:i w:val="0"/>
          <w:caps w:val="0"/>
          <w:color w:val="auto"/>
          <w:spacing w:val="0"/>
          <w:sz w:val="24"/>
          <w:szCs w:val="24"/>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4"/>
          <w:szCs w:val="24"/>
        </w:rPr>
        <w:t>　</w:t>
      </w: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第一条</w:t>
      </w:r>
      <w:r>
        <w:rPr>
          <w:rFonts w:hint="eastAsia" w:ascii="宋体" w:hAnsi="宋体" w:eastAsia="宋体" w:cs="宋体"/>
          <w:i w:val="0"/>
          <w:caps w:val="0"/>
          <w:color w:val="auto"/>
          <w:spacing w:val="0"/>
          <w:sz w:val="28"/>
          <w:szCs w:val="28"/>
        </w:rPr>
        <w:t> 为进一步加强医疗保障行政执法全过程记录信息的管理，规范信息调阅流程，加强监督，特制定本制度。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第二条 </w:t>
      </w:r>
      <w:r>
        <w:rPr>
          <w:rFonts w:hint="eastAsia" w:ascii="宋体" w:hAnsi="宋体" w:eastAsia="宋体" w:cs="宋体"/>
          <w:i w:val="0"/>
          <w:caps w:val="0"/>
          <w:color w:val="auto"/>
          <w:spacing w:val="0"/>
          <w:sz w:val="28"/>
          <w:szCs w:val="28"/>
        </w:rPr>
        <w:t>本制度所称的执法全过程记录信息（以下简称“执法记录信息”）是指医疗保障行政执法机关在实施执法工作过程中形成的执法文书、音像记录、相关文字材料等，属于内部资料，未经许可不得外借、外传。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第三条</w:t>
      </w:r>
      <w:r>
        <w:rPr>
          <w:rFonts w:hint="eastAsia" w:ascii="宋体" w:hAnsi="宋体" w:eastAsia="宋体" w:cs="宋体"/>
          <w:i w:val="0"/>
          <w:caps w:val="0"/>
          <w:color w:val="auto"/>
          <w:spacing w:val="0"/>
          <w:sz w:val="28"/>
          <w:szCs w:val="28"/>
        </w:rPr>
        <w:t> 执法记录信息由相关股室责成专人负责管理。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第四条</w:t>
      </w:r>
      <w:r>
        <w:rPr>
          <w:rFonts w:hint="eastAsia" w:ascii="宋体" w:hAnsi="宋体" w:eastAsia="宋体" w:cs="宋体"/>
          <w:i w:val="0"/>
          <w:caps w:val="0"/>
          <w:color w:val="auto"/>
          <w:spacing w:val="0"/>
          <w:sz w:val="28"/>
          <w:szCs w:val="28"/>
        </w:rPr>
        <w:t> 调阅执法记录须填写《行政执法全过程记录信息调阅单》，经审批同意后调阅，原则上一单一卷。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第五条</w:t>
      </w:r>
      <w:r>
        <w:rPr>
          <w:rFonts w:hint="eastAsia" w:ascii="宋体" w:hAnsi="宋体" w:eastAsia="宋体" w:cs="宋体"/>
          <w:i w:val="0"/>
          <w:caps w:val="0"/>
          <w:color w:val="auto"/>
          <w:spacing w:val="0"/>
          <w:sz w:val="28"/>
          <w:szCs w:val="28"/>
        </w:rPr>
        <w:t> 非本机关或执法人员调阅执法记录信息，须提供调阅单位《调阅函》，填写《行政执法全过程记录信息调阅单》，经单位主要负责人签批后，持本人有效证件原件凭单进行调阅。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第六条</w:t>
      </w:r>
      <w:r>
        <w:rPr>
          <w:rFonts w:hint="eastAsia" w:ascii="宋体" w:hAnsi="宋体" w:eastAsia="宋体" w:cs="宋体"/>
          <w:i w:val="0"/>
          <w:caps w:val="0"/>
          <w:color w:val="auto"/>
          <w:spacing w:val="0"/>
          <w:sz w:val="28"/>
          <w:szCs w:val="28"/>
        </w:rPr>
        <w:t> 执法记录信息仅在档案室内调阅，执法记录信息不得涂改、损坏、私自抄录、刻录、打印等。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第七条 </w:t>
      </w:r>
      <w:r>
        <w:rPr>
          <w:rFonts w:hint="eastAsia" w:ascii="宋体" w:hAnsi="宋体" w:eastAsia="宋体" w:cs="宋体"/>
          <w:i w:val="0"/>
          <w:caps w:val="0"/>
          <w:color w:val="auto"/>
          <w:spacing w:val="0"/>
          <w:sz w:val="28"/>
          <w:szCs w:val="28"/>
        </w:rPr>
        <w:t>执法记录信息原则上不得外借。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第八条 </w:t>
      </w:r>
      <w:r>
        <w:rPr>
          <w:rFonts w:hint="eastAsia" w:ascii="宋体" w:hAnsi="宋体" w:eastAsia="宋体" w:cs="宋体"/>
          <w:i w:val="0"/>
          <w:caps w:val="0"/>
          <w:color w:val="auto"/>
          <w:spacing w:val="0"/>
          <w:sz w:val="28"/>
          <w:szCs w:val="28"/>
        </w:rPr>
        <w:t>进入行政诉讼程序行政处罚案件的申请人或其代理律师申请查阅执法记录信息的，按《行政诉讼法》和《行政复议法》的规定执行，代理律师应提供委托书、授权书、律师执业证等。</w:t>
      </w:r>
      <w:r>
        <w:rPr>
          <w:rFonts w:hint="eastAsia" w:ascii="宋体" w:hAnsi="宋体" w:eastAsia="宋体" w:cs="宋体"/>
          <w:i w:val="0"/>
          <w:caps w:val="0"/>
          <w:color w:val="auto"/>
          <w:spacing w:val="0"/>
          <w:sz w:val="28"/>
          <w:szCs w:val="28"/>
          <w:lang w:val="en-US"/>
        </w:rPr>
        <w:t> </w:t>
      </w:r>
      <w:r>
        <w:rPr>
          <w:rFonts w:hint="eastAsia" w:ascii="宋体" w:hAnsi="宋体" w:eastAsia="宋体" w:cs="宋体"/>
          <w:i w:val="0"/>
          <w:caps w:val="0"/>
          <w:color w:val="auto"/>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第九条</w:t>
      </w:r>
      <w:r>
        <w:rPr>
          <w:rFonts w:hint="eastAsia" w:ascii="宋体" w:hAnsi="宋体" w:eastAsia="宋体" w:cs="宋体"/>
          <w:i w:val="0"/>
          <w:caps w:val="0"/>
          <w:color w:val="auto"/>
          <w:spacing w:val="0"/>
          <w:sz w:val="28"/>
          <w:szCs w:val="28"/>
        </w:rPr>
        <w:t> 调阅执法记录信息应严格履行手续，当面交接清楚，归还执法记录信息必须严格检查，并在归还登记中予以记录。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第十条</w:t>
      </w:r>
      <w:r>
        <w:rPr>
          <w:rFonts w:hint="eastAsia" w:ascii="宋体" w:hAnsi="宋体" w:eastAsia="宋体" w:cs="宋体"/>
          <w:i w:val="0"/>
          <w:caps w:val="0"/>
          <w:color w:val="auto"/>
          <w:spacing w:val="0"/>
          <w:sz w:val="28"/>
          <w:szCs w:val="28"/>
        </w:rPr>
        <w:t> 执法稽查科室应对现场执法全过程记录信息借阅情况进行监督检查，违反本制度，按照《行政执法过错责任追究制度》相关规定对有关人员进行责任追究。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第十一条</w:t>
      </w:r>
      <w:r>
        <w:rPr>
          <w:rFonts w:hint="eastAsia" w:ascii="宋体" w:hAnsi="宋体" w:eastAsia="宋体" w:cs="宋体"/>
          <w:i w:val="0"/>
          <w:caps w:val="0"/>
          <w:color w:val="auto"/>
          <w:spacing w:val="0"/>
          <w:sz w:val="28"/>
          <w:szCs w:val="28"/>
        </w:rPr>
        <w:t> 本制度自印发之日起施行。 </w:t>
      </w:r>
    </w:p>
    <w:p>
      <w:pPr>
        <w:rPr>
          <w:color w:val="auto"/>
          <w:sz w:val="28"/>
          <w:szCs w:val="28"/>
        </w:rPr>
      </w:pPr>
    </w:p>
    <w:sectPr>
      <w:headerReference r:id="rId3" w:type="default"/>
      <w:footerReference r:id="rId4" w:type="default"/>
      <w:pgSz w:w="11906" w:h="16838"/>
      <w:pgMar w:top="1440" w:right="1800" w:bottom="1440" w:left="1800" w:header="851" w:footer="992" w:gutter="0"/>
      <w:pgNumType w:start="5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E03AF0"/>
    <w:rsid w:val="51EE1D98"/>
    <w:rsid w:val="634A6F09"/>
    <w:rsid w:val="646007D5"/>
    <w:rsid w:val="7C4E69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ice</cp:lastModifiedBy>
  <cp:lastPrinted>2020-05-12T08:51:31Z</cp:lastPrinted>
  <dcterms:modified xsi:type="dcterms:W3CDTF">2020-05-12T08:53:49Z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