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spacing w:before="1"/>
        <w:rPr>
          <w:rFonts w:ascii="Times New Roman"/>
          <w:sz w:val="27"/>
        </w:rPr>
      </w:pPr>
    </w:p>
    <w:p>
      <w:pPr>
        <w:pStyle w:val="2"/>
        <w:spacing w:before="68"/>
        <w:ind w:left="5665" w:right="5665"/>
        <w:jc w:val="center"/>
      </w:pPr>
      <w:bookmarkStart w:id="0" w:name="_GoBack"/>
      <w:r>
        <w:t>沁县</w:t>
      </w:r>
      <w:r>
        <w:rPr>
          <w:rFonts w:hint="eastAsia" w:eastAsia="宋体"/>
          <w:lang w:eastAsia="zh-CN"/>
        </w:rPr>
        <w:t>牛寺乡</w:t>
      </w:r>
      <w:r>
        <w:t>行政执法事项清单</w:t>
      </w:r>
      <w:bookmarkEnd w:id="0"/>
    </w:p>
    <w:p>
      <w:pPr>
        <w:pStyle w:val="2"/>
        <w:spacing w:before="4"/>
        <w:rPr>
          <w:sz w:val="12"/>
        </w:rPr>
      </w:pPr>
    </w:p>
    <w:tbl>
      <w:tblPr>
        <w:tblStyle w:val="3"/>
        <w:tblW w:w="0" w:type="auto"/>
        <w:tblInd w:w="1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6"/>
        <w:gridCol w:w="2124"/>
        <w:gridCol w:w="840"/>
        <w:gridCol w:w="10164"/>
        <w:gridCol w:w="960"/>
        <w:gridCol w:w="11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456" w:type="dxa"/>
          </w:tcPr>
          <w:p>
            <w:pPr>
              <w:pStyle w:val="7"/>
              <w:spacing w:before="113"/>
              <w:ind w:left="28"/>
              <w:jc w:val="center"/>
              <w:rPr>
                <w:rFonts w:hint="eastAsia" w:ascii="黑体" w:eastAsia="黑体"/>
                <w:sz w:val="19"/>
              </w:rPr>
            </w:pPr>
            <w:r>
              <w:rPr>
                <w:rFonts w:hint="eastAsia" w:ascii="黑体" w:eastAsia="黑体"/>
                <w:sz w:val="19"/>
              </w:rPr>
              <w:t>序号</w:t>
            </w:r>
          </w:p>
        </w:tc>
        <w:tc>
          <w:tcPr>
            <w:tcW w:w="2124" w:type="dxa"/>
          </w:tcPr>
          <w:p>
            <w:pPr>
              <w:pStyle w:val="7"/>
              <w:spacing w:before="113"/>
              <w:ind w:left="683"/>
              <w:rPr>
                <w:rFonts w:hint="eastAsia" w:ascii="黑体" w:eastAsia="黑体"/>
                <w:sz w:val="19"/>
              </w:rPr>
            </w:pPr>
            <w:r>
              <w:rPr>
                <w:rFonts w:hint="eastAsia" w:ascii="黑体" w:eastAsia="黑体"/>
                <w:sz w:val="19"/>
              </w:rPr>
              <w:t>职权名称</w:t>
            </w:r>
          </w:p>
        </w:tc>
        <w:tc>
          <w:tcPr>
            <w:tcW w:w="840" w:type="dxa"/>
          </w:tcPr>
          <w:p>
            <w:pPr>
              <w:pStyle w:val="7"/>
              <w:spacing w:before="113"/>
              <w:ind w:left="24" w:right="1"/>
              <w:jc w:val="center"/>
              <w:rPr>
                <w:rFonts w:hint="eastAsia" w:ascii="黑体" w:eastAsia="黑体"/>
                <w:sz w:val="19"/>
              </w:rPr>
            </w:pPr>
            <w:r>
              <w:rPr>
                <w:rFonts w:hint="eastAsia" w:ascii="黑体" w:eastAsia="黑体"/>
                <w:sz w:val="19"/>
              </w:rPr>
              <w:t>职权类型</w:t>
            </w:r>
          </w:p>
        </w:tc>
        <w:tc>
          <w:tcPr>
            <w:tcW w:w="10164" w:type="dxa"/>
          </w:tcPr>
          <w:p>
            <w:pPr>
              <w:pStyle w:val="7"/>
              <w:spacing w:before="113"/>
              <w:ind w:left="4687" w:right="4662"/>
              <w:jc w:val="center"/>
              <w:rPr>
                <w:rFonts w:hint="eastAsia" w:ascii="黑体" w:eastAsia="黑体"/>
                <w:sz w:val="19"/>
              </w:rPr>
            </w:pPr>
            <w:r>
              <w:rPr>
                <w:rFonts w:hint="eastAsia" w:ascii="黑体" w:eastAsia="黑体"/>
                <w:sz w:val="19"/>
              </w:rPr>
              <w:t>职权依据</w:t>
            </w:r>
          </w:p>
        </w:tc>
        <w:tc>
          <w:tcPr>
            <w:tcW w:w="960" w:type="dxa"/>
          </w:tcPr>
          <w:p>
            <w:pPr>
              <w:pStyle w:val="7"/>
              <w:spacing w:before="113"/>
              <w:ind w:left="41" w:right="18"/>
              <w:jc w:val="center"/>
              <w:rPr>
                <w:rFonts w:hint="eastAsia" w:ascii="黑体" w:eastAsia="黑体"/>
                <w:sz w:val="19"/>
              </w:rPr>
            </w:pPr>
            <w:r>
              <w:rPr>
                <w:rFonts w:hint="eastAsia" w:ascii="黑体" w:eastAsia="黑体"/>
                <w:sz w:val="19"/>
              </w:rPr>
              <w:t>主管部门</w:t>
            </w:r>
          </w:p>
        </w:tc>
        <w:tc>
          <w:tcPr>
            <w:tcW w:w="1140" w:type="dxa"/>
          </w:tcPr>
          <w:p>
            <w:pPr>
              <w:pStyle w:val="7"/>
              <w:spacing w:before="113"/>
              <w:ind w:left="95"/>
              <w:rPr>
                <w:rFonts w:hint="eastAsia" w:ascii="黑体" w:eastAsia="黑体"/>
                <w:sz w:val="19"/>
              </w:rPr>
            </w:pPr>
            <w:r>
              <w:rPr>
                <w:rFonts w:hint="eastAsia" w:ascii="黑体" w:eastAsia="黑体"/>
                <w:sz w:val="19"/>
              </w:rPr>
              <w:t>原实施主体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2" w:hRule="atLeast"/>
        </w:trPr>
        <w:tc>
          <w:tcPr>
            <w:tcW w:w="456"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12"/>
              <w:rPr>
                <w:rFonts w:ascii="PMingLiU"/>
                <w:sz w:val="10"/>
              </w:rPr>
            </w:pPr>
          </w:p>
          <w:p>
            <w:pPr>
              <w:pStyle w:val="7"/>
              <w:ind w:left="28"/>
              <w:jc w:val="center"/>
              <w:rPr>
                <w:sz w:val="14"/>
              </w:rPr>
            </w:pPr>
            <w:r>
              <w:rPr>
                <w:w w:val="102"/>
                <w:sz w:val="14"/>
              </w:rPr>
              <w:t>1</w:t>
            </w:r>
          </w:p>
        </w:tc>
        <w:tc>
          <w:tcPr>
            <w:tcW w:w="2124"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5"/>
              <w:rPr>
                <w:rFonts w:ascii="PMingLiU"/>
                <w:sz w:val="18"/>
              </w:rPr>
            </w:pPr>
          </w:p>
          <w:p>
            <w:pPr>
              <w:pStyle w:val="7"/>
              <w:ind w:left="30" w:right="60"/>
              <w:rPr>
                <w:sz w:val="14"/>
              </w:rPr>
            </w:pPr>
            <w:r>
              <w:rPr>
                <w:sz w:val="14"/>
              </w:rPr>
              <w:t>对损毁永久性测量标志或使其失去使用效能的行为的处罚</w:t>
            </w:r>
          </w:p>
        </w:tc>
        <w:tc>
          <w:tcPr>
            <w:tcW w:w="840"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12"/>
              <w:rPr>
                <w:rFonts w:ascii="PMingLiU"/>
                <w:sz w:val="10"/>
              </w:rPr>
            </w:pPr>
          </w:p>
          <w:p>
            <w:pPr>
              <w:pStyle w:val="7"/>
              <w:ind w:left="24" w:right="1"/>
              <w:jc w:val="center"/>
              <w:rPr>
                <w:sz w:val="14"/>
              </w:rPr>
            </w:pPr>
            <w:r>
              <w:rPr>
                <w:sz w:val="14"/>
              </w:rPr>
              <w:t>行政处罚</w:t>
            </w:r>
          </w:p>
        </w:tc>
        <w:tc>
          <w:tcPr>
            <w:tcW w:w="10164" w:type="dxa"/>
          </w:tcPr>
          <w:p>
            <w:pPr>
              <w:pStyle w:val="7"/>
              <w:spacing w:before="1"/>
              <w:rPr>
                <w:rFonts w:ascii="PMingLiU"/>
                <w:sz w:val="11"/>
              </w:rPr>
            </w:pPr>
          </w:p>
          <w:p>
            <w:pPr>
              <w:pStyle w:val="7"/>
              <w:spacing w:before="1"/>
              <w:ind w:left="30" w:right="65"/>
              <w:jc w:val="both"/>
              <w:rPr>
                <w:sz w:val="14"/>
              </w:rPr>
            </w:pPr>
            <w:r>
              <w:rPr>
                <w:b/>
                <w:sz w:val="14"/>
              </w:rPr>
              <w:t xml:space="preserve">《中华人民共和国测绘法》第六十四条第一款第一项、第四项   </w:t>
            </w:r>
            <w:r>
              <w:rPr>
                <w:sz w:val="14"/>
              </w:rPr>
              <w:t>违反本法规定，有下列行为之一的，给予警告，责令改正，可以并处二十万元以下的罚款；对直 接负责的主管人员和其他直接责任人员，依法给予处分；造成损失的，依法承担赔偿责任；构成犯罪的，依法追究刑事责任：</w:t>
            </w:r>
          </w:p>
          <w:p>
            <w:pPr>
              <w:pStyle w:val="7"/>
              <w:spacing w:before="1"/>
              <w:ind w:left="30" w:right="29"/>
              <w:jc w:val="both"/>
              <w:rPr>
                <w:sz w:val="14"/>
              </w:rPr>
            </w:pPr>
            <w:r>
              <w:rPr>
                <w:w w:val="102"/>
                <w:sz w:val="14"/>
              </w:rPr>
              <w:t xml:space="preserve"> </w:t>
            </w:r>
            <w:r>
              <w:rPr>
                <w:spacing w:val="2"/>
                <w:w w:val="102"/>
                <w:sz w:val="14"/>
              </w:rPr>
              <w:t xml:space="preserve"> </w:t>
            </w:r>
            <w:r>
              <w:rPr>
                <w:w w:val="102"/>
                <w:sz w:val="14"/>
              </w:rPr>
              <w:t xml:space="preserve">  </w:t>
            </w:r>
            <w:r>
              <w:rPr>
                <w:sz w:val="14"/>
              </w:rPr>
              <w:t>(一)损毁、擅自移动永久性测量标志或者正在使用中的临时性测量标志；(四)擅自拆迁永久性测量标志或者使永久性测量标志失去使用效能，或者拒绝支付   迁建费用；</w:t>
            </w:r>
          </w:p>
          <w:p>
            <w:pPr>
              <w:pStyle w:val="7"/>
              <w:spacing w:before="1"/>
              <w:ind w:left="30" w:right="41"/>
              <w:jc w:val="both"/>
              <w:rPr>
                <w:sz w:val="14"/>
              </w:rPr>
            </w:pPr>
            <w:r>
              <w:rPr>
                <w:b/>
                <w:sz w:val="14"/>
              </w:rPr>
              <w:t>《中华人民共和国测量标志保护条例》</w:t>
            </w:r>
            <w:r>
              <w:rPr>
                <w:b/>
                <w:spacing w:val="3"/>
                <w:sz w:val="14"/>
              </w:rPr>
              <w:t>（</w:t>
            </w:r>
            <w:r>
              <w:rPr>
                <w:b/>
                <w:sz w:val="14"/>
              </w:rPr>
              <w:t>国务院令第</w:t>
            </w:r>
            <w:r>
              <w:rPr>
                <w:b/>
                <w:spacing w:val="3"/>
                <w:sz w:val="14"/>
              </w:rPr>
              <w:t>203号）</w:t>
            </w:r>
            <w:r>
              <w:rPr>
                <w:b/>
                <w:sz w:val="14"/>
              </w:rPr>
              <w:t>第二十二条第一款第一项</w:t>
            </w:r>
            <w:r>
              <w:rPr>
                <w:sz w:val="14"/>
              </w:rPr>
              <w:t xml:space="preserve">测量标志受国家保护，禁止下列有损测量标志安全和使用测量标志失去使   用效能的行为： （一）损毁或者擅自移动地下或者地上的永久性测量标志以及使用中的临时性测量标志的； </w:t>
            </w:r>
          </w:p>
          <w:p>
            <w:pPr>
              <w:pStyle w:val="7"/>
              <w:spacing w:before="1"/>
              <w:ind w:left="30" w:right="12"/>
              <w:jc w:val="both"/>
              <w:rPr>
                <w:sz w:val="14"/>
              </w:rPr>
            </w:pPr>
            <w:r>
              <w:rPr>
                <w:b/>
                <w:sz w:val="14"/>
              </w:rPr>
              <w:t>第二十三条第一款第二项、第三项</w:t>
            </w:r>
            <w:r>
              <w:rPr>
                <w:sz w:val="14"/>
              </w:rPr>
              <w:t xml:space="preserve">有本条例第二十二条禁止的行为之一，或者有下列行为之一的，由县级以上人民政府管理测绘工作的部门责令限期改正，给予   警告，并可以根据情节处以5万元以下的罚款；对负有直接责任的主管人员和其他直接责任人员，依法给予行政处分；造成损失的，应当依法承担赔偿责任： </w:t>
            </w:r>
          </w:p>
          <w:p>
            <w:pPr>
              <w:pStyle w:val="7"/>
              <w:spacing w:before="2"/>
              <w:ind w:left="30" w:right="36" w:firstLine="144"/>
              <w:rPr>
                <w:sz w:val="14"/>
              </w:rPr>
            </w:pPr>
            <w:r>
              <w:rPr>
                <w:sz w:val="14"/>
              </w:rPr>
              <w:t xml:space="preserve">（二）工程建设单位未经批准擅自拆迁永久性测量标志或者使永久性测量标志失去使用效能的，或者拒绝按照国家有关规定支付迁建费用的；（三）违反测绘  操作规程进行测绘，使永久性测量标志受到损坏的； </w:t>
            </w:r>
          </w:p>
          <w:p>
            <w:pPr>
              <w:pStyle w:val="7"/>
              <w:spacing w:before="1"/>
              <w:ind w:left="30" w:right="36"/>
              <w:jc w:val="both"/>
              <w:rPr>
                <w:sz w:val="14"/>
              </w:rPr>
            </w:pPr>
            <w:r>
              <w:rPr>
                <w:b/>
                <w:sz w:val="14"/>
              </w:rPr>
              <w:t>《山西省测量标志管理规定》（山西省人民政府令第</w:t>
            </w:r>
            <w:r>
              <w:rPr>
                <w:b/>
                <w:spacing w:val="3"/>
                <w:sz w:val="14"/>
              </w:rPr>
              <w:t xml:space="preserve">140号）第三十一条第一款第三项    </w:t>
            </w:r>
            <w:r>
              <w:rPr>
                <w:sz w:val="14"/>
              </w:rPr>
              <w:t>违反本规定，有下列行为之一的，依据《中华人民共和国测量标志保护条例》第二十三条的规定，由县级以上人民政府管理测绘工作的部门责令限期改正，给予警告，并可以视情节按以下规定处以罚款；对负有直接责任的主管人员   和其他直接责任人员，依法给予行政处分；造成损失的，依法承担赔偿责任：</w:t>
            </w:r>
          </w:p>
          <w:p>
            <w:pPr>
              <w:pStyle w:val="7"/>
              <w:spacing w:before="2"/>
              <w:ind w:left="30"/>
              <w:jc w:val="both"/>
              <w:rPr>
                <w:sz w:val="14"/>
              </w:rPr>
            </w:pPr>
            <w:r>
              <w:rPr>
                <w:w w:val="102"/>
                <w:sz w:val="14"/>
              </w:rPr>
              <w:t xml:space="preserve">  </w:t>
            </w:r>
            <w:r>
              <w:rPr>
                <w:sz w:val="14"/>
              </w:rPr>
              <w:t>（三）损毁永久性测量标志，使永久性测量标志失去使用效能的，处50000元的罚款。</w:t>
            </w:r>
          </w:p>
        </w:tc>
        <w:tc>
          <w:tcPr>
            <w:tcW w:w="960"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12"/>
              <w:rPr>
                <w:rFonts w:ascii="PMingLiU"/>
                <w:sz w:val="10"/>
              </w:rPr>
            </w:pPr>
          </w:p>
          <w:p>
            <w:pPr>
              <w:pStyle w:val="7"/>
              <w:ind w:left="41" w:right="18"/>
              <w:jc w:val="center"/>
              <w:rPr>
                <w:sz w:val="14"/>
              </w:rPr>
            </w:pPr>
            <w:r>
              <w:rPr>
                <w:sz w:val="14"/>
              </w:rPr>
              <w:t>省自然资源厅</w:t>
            </w:r>
          </w:p>
        </w:tc>
        <w:tc>
          <w:tcPr>
            <w:tcW w:w="1140"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2"/>
              </w:rPr>
            </w:pPr>
          </w:p>
          <w:p>
            <w:pPr>
              <w:pStyle w:val="7"/>
              <w:ind w:left="30" w:right="84"/>
              <w:jc w:val="both"/>
              <w:rPr>
                <w:sz w:val="14"/>
              </w:rPr>
            </w:pPr>
            <w:r>
              <w:rPr>
                <w:sz w:val="14"/>
              </w:rPr>
              <w:t>县级以上人民政府管理测绘工作的部门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56" w:type="dxa"/>
          </w:tcPr>
          <w:p>
            <w:pPr>
              <w:pStyle w:val="7"/>
              <w:spacing w:before="5"/>
              <w:rPr>
                <w:rFonts w:ascii="PMingLiU"/>
                <w:sz w:val="14"/>
              </w:rPr>
            </w:pPr>
          </w:p>
          <w:p>
            <w:pPr>
              <w:pStyle w:val="7"/>
              <w:ind w:left="28"/>
              <w:jc w:val="center"/>
              <w:rPr>
                <w:sz w:val="14"/>
              </w:rPr>
            </w:pPr>
            <w:r>
              <w:rPr>
                <w:w w:val="102"/>
                <w:sz w:val="14"/>
              </w:rPr>
              <w:t>2</w:t>
            </w:r>
          </w:p>
        </w:tc>
        <w:tc>
          <w:tcPr>
            <w:tcW w:w="2124" w:type="dxa"/>
          </w:tcPr>
          <w:p>
            <w:pPr>
              <w:pStyle w:val="7"/>
              <w:spacing w:before="110"/>
              <w:ind w:left="30" w:right="60"/>
              <w:rPr>
                <w:sz w:val="14"/>
              </w:rPr>
            </w:pPr>
            <w:r>
              <w:rPr>
                <w:sz w:val="14"/>
              </w:rPr>
              <w:t>对未按照规定设置大气污染物排放口的行为的处罚</w:t>
            </w:r>
          </w:p>
        </w:tc>
        <w:tc>
          <w:tcPr>
            <w:tcW w:w="840" w:type="dxa"/>
          </w:tcPr>
          <w:p>
            <w:pPr>
              <w:pStyle w:val="7"/>
              <w:spacing w:before="5"/>
              <w:rPr>
                <w:rFonts w:ascii="PMingLiU"/>
                <w:sz w:val="14"/>
              </w:rPr>
            </w:pPr>
          </w:p>
          <w:p>
            <w:pPr>
              <w:pStyle w:val="7"/>
              <w:ind w:left="24" w:right="1"/>
              <w:jc w:val="center"/>
              <w:rPr>
                <w:sz w:val="14"/>
              </w:rPr>
            </w:pPr>
            <w:r>
              <w:rPr>
                <w:sz w:val="14"/>
              </w:rPr>
              <w:t>行政处罚</w:t>
            </w:r>
          </w:p>
        </w:tc>
        <w:tc>
          <w:tcPr>
            <w:tcW w:w="10164" w:type="dxa"/>
          </w:tcPr>
          <w:p>
            <w:pPr>
              <w:pStyle w:val="7"/>
              <w:spacing w:before="110"/>
              <w:ind w:left="30" w:right="65"/>
              <w:rPr>
                <w:sz w:val="14"/>
              </w:rPr>
            </w:pPr>
            <w:r>
              <w:rPr>
                <w:b/>
                <w:sz w:val="14"/>
              </w:rPr>
              <w:t xml:space="preserve">《中华人民共和国大气污染防治法》第一百条第一款第五项   </w:t>
            </w:r>
            <w:r>
              <w:rPr>
                <w:sz w:val="14"/>
              </w:rPr>
              <w:t>违反本法规定，有下列行为之一的，由县级以上人民政府生态环境主管部门责令改正，处二万元以 上二十万元以下的罚款；拒不改正的，责令停产整治：（五）未按照规定设置大气污染物排放口的。</w:t>
            </w:r>
          </w:p>
        </w:tc>
        <w:tc>
          <w:tcPr>
            <w:tcW w:w="960" w:type="dxa"/>
          </w:tcPr>
          <w:p>
            <w:pPr>
              <w:pStyle w:val="7"/>
              <w:spacing w:before="5"/>
              <w:rPr>
                <w:rFonts w:ascii="PMingLiU"/>
                <w:sz w:val="14"/>
              </w:rPr>
            </w:pPr>
          </w:p>
          <w:p>
            <w:pPr>
              <w:pStyle w:val="7"/>
              <w:ind w:left="41" w:right="18"/>
              <w:jc w:val="center"/>
              <w:rPr>
                <w:sz w:val="14"/>
              </w:rPr>
            </w:pPr>
            <w:r>
              <w:rPr>
                <w:sz w:val="14"/>
              </w:rPr>
              <w:t>省生态环境厅</w:t>
            </w:r>
          </w:p>
        </w:tc>
        <w:tc>
          <w:tcPr>
            <w:tcW w:w="1140" w:type="dxa"/>
          </w:tcPr>
          <w:p>
            <w:pPr>
              <w:pStyle w:val="7"/>
              <w:spacing w:before="20" w:line="180" w:lineRule="atLeast"/>
              <w:ind w:left="30" w:right="84"/>
              <w:jc w:val="both"/>
              <w:rPr>
                <w:sz w:val="14"/>
              </w:rPr>
            </w:pPr>
            <w:r>
              <w:rPr>
                <w:sz w:val="14"/>
              </w:rPr>
              <w:t>县级以上人民政府生态环境主管部门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4" w:hRule="atLeast"/>
        </w:trPr>
        <w:tc>
          <w:tcPr>
            <w:tcW w:w="456" w:type="dxa"/>
          </w:tcPr>
          <w:p>
            <w:pPr>
              <w:pStyle w:val="7"/>
              <w:rPr>
                <w:rFonts w:ascii="PMingLiU"/>
                <w:sz w:val="14"/>
              </w:rPr>
            </w:pPr>
          </w:p>
          <w:p>
            <w:pPr>
              <w:pStyle w:val="7"/>
              <w:spacing w:before="111"/>
              <w:ind w:left="28"/>
              <w:jc w:val="center"/>
              <w:rPr>
                <w:sz w:val="14"/>
              </w:rPr>
            </w:pPr>
            <w:r>
              <w:rPr>
                <w:w w:val="102"/>
                <w:sz w:val="14"/>
              </w:rPr>
              <w:t>3</w:t>
            </w:r>
          </w:p>
        </w:tc>
        <w:tc>
          <w:tcPr>
            <w:tcW w:w="2124" w:type="dxa"/>
          </w:tcPr>
          <w:p>
            <w:pPr>
              <w:pStyle w:val="7"/>
              <w:spacing w:before="8"/>
              <w:rPr>
                <w:rFonts w:ascii="PMingLiU"/>
                <w:sz w:val="15"/>
              </w:rPr>
            </w:pPr>
          </w:p>
          <w:p>
            <w:pPr>
              <w:pStyle w:val="7"/>
              <w:ind w:left="30" w:right="60"/>
              <w:rPr>
                <w:sz w:val="14"/>
              </w:rPr>
            </w:pPr>
            <w:r>
              <w:rPr>
                <w:sz w:val="14"/>
              </w:rPr>
              <w:t>对畜禽养殖废弃物未进行综合利用和无害化处理的行为的处罚</w:t>
            </w:r>
          </w:p>
        </w:tc>
        <w:tc>
          <w:tcPr>
            <w:tcW w:w="840" w:type="dxa"/>
          </w:tcPr>
          <w:p>
            <w:pPr>
              <w:pStyle w:val="7"/>
              <w:rPr>
                <w:rFonts w:ascii="PMingLiU"/>
                <w:sz w:val="14"/>
              </w:rPr>
            </w:pPr>
          </w:p>
          <w:p>
            <w:pPr>
              <w:pStyle w:val="7"/>
              <w:spacing w:before="111"/>
              <w:ind w:left="24" w:right="1"/>
              <w:jc w:val="center"/>
              <w:rPr>
                <w:sz w:val="14"/>
              </w:rPr>
            </w:pPr>
            <w:r>
              <w:rPr>
                <w:sz w:val="14"/>
              </w:rPr>
              <w:t>行政处罚</w:t>
            </w:r>
          </w:p>
        </w:tc>
        <w:tc>
          <w:tcPr>
            <w:tcW w:w="10164" w:type="dxa"/>
          </w:tcPr>
          <w:p>
            <w:pPr>
              <w:pStyle w:val="7"/>
              <w:spacing w:before="38"/>
              <w:ind w:left="30"/>
              <w:rPr>
                <w:b/>
                <w:sz w:val="14"/>
              </w:rPr>
            </w:pPr>
            <w:r>
              <w:rPr>
                <w:b/>
                <w:sz w:val="14"/>
              </w:rPr>
              <w:t>《畜禽规模养殖污染防治条例》（国务院令第643号）</w:t>
            </w:r>
          </w:p>
          <w:p>
            <w:pPr>
              <w:pStyle w:val="7"/>
              <w:spacing w:line="180" w:lineRule="atLeast"/>
              <w:ind w:left="30" w:right="27"/>
              <w:jc w:val="both"/>
              <w:rPr>
                <w:sz w:val="14"/>
              </w:rPr>
            </w:pPr>
            <w:r>
              <w:rPr>
                <w:b/>
                <w:spacing w:val="3"/>
                <w:sz w:val="14"/>
              </w:rPr>
              <w:t xml:space="preserve">第三十九条    </w:t>
            </w:r>
            <w:r>
              <w:rPr>
                <w:sz w:val="14"/>
              </w:rPr>
              <w:t>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10万元   以下的罚款。</w:t>
            </w:r>
          </w:p>
        </w:tc>
        <w:tc>
          <w:tcPr>
            <w:tcW w:w="960" w:type="dxa"/>
          </w:tcPr>
          <w:p>
            <w:pPr>
              <w:pStyle w:val="7"/>
              <w:rPr>
                <w:rFonts w:ascii="PMingLiU"/>
                <w:sz w:val="14"/>
              </w:rPr>
            </w:pPr>
          </w:p>
          <w:p>
            <w:pPr>
              <w:pStyle w:val="7"/>
              <w:spacing w:before="111"/>
              <w:ind w:left="41" w:right="18"/>
              <w:jc w:val="center"/>
              <w:rPr>
                <w:sz w:val="14"/>
              </w:rPr>
            </w:pPr>
            <w:r>
              <w:rPr>
                <w:sz w:val="14"/>
              </w:rPr>
              <w:t>省生态环境厅</w:t>
            </w:r>
          </w:p>
        </w:tc>
        <w:tc>
          <w:tcPr>
            <w:tcW w:w="1140" w:type="dxa"/>
          </w:tcPr>
          <w:p>
            <w:pPr>
              <w:pStyle w:val="7"/>
              <w:spacing w:before="1"/>
              <w:rPr>
                <w:rFonts w:ascii="PMingLiU"/>
                <w:sz w:val="9"/>
              </w:rPr>
            </w:pPr>
          </w:p>
          <w:p>
            <w:pPr>
              <w:pStyle w:val="7"/>
              <w:ind w:left="30" w:right="84"/>
              <w:jc w:val="both"/>
              <w:rPr>
                <w:sz w:val="14"/>
              </w:rPr>
            </w:pPr>
            <w:r>
              <w:rPr>
                <w:sz w:val="14"/>
              </w:rPr>
              <w:t>县级以上人民政府生态环境主管部门</w:t>
            </w:r>
          </w:p>
        </w:tc>
      </w:tr>
    </w:tbl>
    <w:p>
      <w:pPr>
        <w:spacing w:after="0"/>
        <w:jc w:val="both"/>
        <w:rPr>
          <w:sz w:val="14"/>
        </w:rPr>
        <w:sectPr>
          <w:footerReference r:id="rId5" w:type="default"/>
          <w:type w:val="continuous"/>
          <w:pgSz w:w="16840" w:h="11910" w:orient="landscape"/>
          <w:pgMar w:top="1100" w:right="460" w:bottom="620" w:left="460" w:header="720" w:footer="437" w:gutter="0"/>
          <w:pgNumType w:start="1"/>
          <w:cols w:space="720" w:num="1"/>
        </w:sectPr>
      </w:pPr>
    </w:p>
    <w:p>
      <w:pPr>
        <w:pStyle w:val="2"/>
        <w:rPr>
          <w:rFonts w:ascii="Times New Roman"/>
          <w:sz w:val="20"/>
        </w:rPr>
      </w:pPr>
    </w:p>
    <w:p>
      <w:pPr>
        <w:pStyle w:val="2"/>
        <w:spacing w:before="5"/>
        <w:rPr>
          <w:rFonts w:ascii="Times New Roman"/>
          <w:sz w:val="16"/>
        </w:rPr>
      </w:pPr>
    </w:p>
    <w:tbl>
      <w:tblPr>
        <w:tblStyle w:val="3"/>
        <w:tblW w:w="0" w:type="auto"/>
        <w:tblInd w:w="1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6"/>
        <w:gridCol w:w="2124"/>
        <w:gridCol w:w="840"/>
        <w:gridCol w:w="10164"/>
        <w:gridCol w:w="960"/>
        <w:gridCol w:w="11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456" w:type="dxa"/>
          </w:tcPr>
          <w:p>
            <w:pPr>
              <w:pStyle w:val="7"/>
              <w:spacing w:before="113"/>
              <w:ind w:left="28"/>
              <w:jc w:val="center"/>
              <w:rPr>
                <w:rFonts w:hint="eastAsia" w:ascii="黑体" w:eastAsia="黑体"/>
                <w:sz w:val="19"/>
              </w:rPr>
            </w:pPr>
            <w:r>
              <w:rPr>
                <w:rFonts w:hint="eastAsia" w:ascii="黑体" w:eastAsia="黑体"/>
                <w:sz w:val="19"/>
              </w:rPr>
              <w:t>序号</w:t>
            </w:r>
          </w:p>
        </w:tc>
        <w:tc>
          <w:tcPr>
            <w:tcW w:w="2124" w:type="dxa"/>
          </w:tcPr>
          <w:p>
            <w:pPr>
              <w:pStyle w:val="7"/>
              <w:spacing w:before="113"/>
              <w:ind w:left="683"/>
              <w:rPr>
                <w:rFonts w:hint="eastAsia" w:ascii="黑体" w:eastAsia="黑体"/>
                <w:sz w:val="19"/>
              </w:rPr>
            </w:pPr>
            <w:r>
              <w:rPr>
                <w:rFonts w:hint="eastAsia" w:ascii="黑体" w:eastAsia="黑体"/>
                <w:sz w:val="19"/>
              </w:rPr>
              <w:t>职权名称</w:t>
            </w:r>
          </w:p>
        </w:tc>
        <w:tc>
          <w:tcPr>
            <w:tcW w:w="840" w:type="dxa"/>
          </w:tcPr>
          <w:p>
            <w:pPr>
              <w:pStyle w:val="7"/>
              <w:spacing w:before="113"/>
              <w:ind w:left="24" w:right="1"/>
              <w:jc w:val="center"/>
              <w:rPr>
                <w:rFonts w:hint="eastAsia" w:ascii="黑体" w:eastAsia="黑体"/>
                <w:sz w:val="19"/>
              </w:rPr>
            </w:pPr>
            <w:r>
              <w:rPr>
                <w:rFonts w:hint="eastAsia" w:ascii="黑体" w:eastAsia="黑体"/>
                <w:sz w:val="19"/>
              </w:rPr>
              <w:t>职权类型</w:t>
            </w:r>
          </w:p>
        </w:tc>
        <w:tc>
          <w:tcPr>
            <w:tcW w:w="10164" w:type="dxa"/>
          </w:tcPr>
          <w:p>
            <w:pPr>
              <w:pStyle w:val="7"/>
              <w:spacing w:before="113"/>
              <w:ind w:left="4687" w:right="4662"/>
              <w:jc w:val="center"/>
              <w:rPr>
                <w:rFonts w:hint="eastAsia" w:ascii="黑体" w:eastAsia="黑体"/>
                <w:sz w:val="19"/>
              </w:rPr>
            </w:pPr>
            <w:r>
              <w:rPr>
                <w:rFonts w:hint="eastAsia" w:ascii="黑体" w:eastAsia="黑体"/>
                <w:sz w:val="19"/>
              </w:rPr>
              <w:t>职权依据</w:t>
            </w:r>
          </w:p>
        </w:tc>
        <w:tc>
          <w:tcPr>
            <w:tcW w:w="960" w:type="dxa"/>
          </w:tcPr>
          <w:p>
            <w:pPr>
              <w:pStyle w:val="7"/>
              <w:spacing w:before="113"/>
              <w:ind w:left="41" w:right="18"/>
              <w:jc w:val="center"/>
              <w:rPr>
                <w:rFonts w:hint="eastAsia" w:ascii="黑体" w:eastAsia="黑体"/>
                <w:sz w:val="19"/>
              </w:rPr>
            </w:pPr>
            <w:r>
              <w:rPr>
                <w:rFonts w:hint="eastAsia" w:ascii="黑体" w:eastAsia="黑体"/>
                <w:sz w:val="19"/>
              </w:rPr>
              <w:t>主管部门</w:t>
            </w:r>
          </w:p>
        </w:tc>
        <w:tc>
          <w:tcPr>
            <w:tcW w:w="1140" w:type="dxa"/>
          </w:tcPr>
          <w:p>
            <w:pPr>
              <w:pStyle w:val="7"/>
              <w:spacing w:before="113"/>
              <w:ind w:left="95"/>
              <w:rPr>
                <w:rFonts w:hint="eastAsia" w:ascii="黑体" w:eastAsia="黑体"/>
                <w:sz w:val="19"/>
              </w:rPr>
            </w:pPr>
            <w:r>
              <w:rPr>
                <w:rFonts w:hint="eastAsia" w:ascii="黑体" w:eastAsia="黑体"/>
                <w:sz w:val="19"/>
              </w:rPr>
              <w:t>原实施主体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4" w:hRule="atLeast"/>
        </w:trPr>
        <w:tc>
          <w:tcPr>
            <w:tcW w:w="4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7"/>
              </w:rPr>
            </w:pPr>
          </w:p>
          <w:p>
            <w:pPr>
              <w:pStyle w:val="7"/>
              <w:spacing w:before="1"/>
              <w:ind w:left="28"/>
              <w:jc w:val="center"/>
              <w:rPr>
                <w:sz w:val="14"/>
              </w:rPr>
            </w:pPr>
            <w:r>
              <w:rPr>
                <w:w w:val="102"/>
                <w:sz w:val="14"/>
              </w:rPr>
              <w:t>4</w:t>
            </w:r>
          </w:p>
        </w:tc>
        <w:tc>
          <w:tcPr>
            <w:tcW w:w="212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2"/>
              <w:ind w:left="30" w:right="60"/>
              <w:rPr>
                <w:sz w:val="14"/>
              </w:rPr>
            </w:pPr>
            <w:r>
              <w:rPr>
                <w:sz w:val="14"/>
              </w:rPr>
              <w:t>对拒绝现场检查或被检查时弄虚作假的行为的处罚</w:t>
            </w:r>
          </w:p>
        </w:tc>
        <w:tc>
          <w:tcPr>
            <w:tcW w:w="84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7"/>
              </w:rPr>
            </w:pPr>
          </w:p>
          <w:p>
            <w:pPr>
              <w:pStyle w:val="7"/>
              <w:spacing w:before="1"/>
              <w:ind w:left="24" w:right="1"/>
              <w:jc w:val="center"/>
              <w:rPr>
                <w:sz w:val="14"/>
              </w:rPr>
            </w:pPr>
            <w:r>
              <w:rPr>
                <w:sz w:val="14"/>
              </w:rPr>
              <w:t>行政处罚</w:t>
            </w:r>
          </w:p>
        </w:tc>
        <w:tc>
          <w:tcPr>
            <w:tcW w:w="10164" w:type="dxa"/>
          </w:tcPr>
          <w:p>
            <w:pPr>
              <w:pStyle w:val="7"/>
              <w:spacing w:before="98"/>
              <w:ind w:left="30" w:right="36"/>
              <w:rPr>
                <w:sz w:val="14"/>
              </w:rPr>
            </w:pPr>
            <w:r>
              <w:rPr>
                <w:b/>
                <w:sz w:val="14"/>
              </w:rPr>
              <w:t xml:space="preserve">《中华人民共和国水污染防治法》  第八十一条  </w:t>
            </w:r>
            <w:r>
              <w:rPr>
                <w:sz w:val="14"/>
              </w:rPr>
              <w:t>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   上二十万元以下的罚款。</w:t>
            </w:r>
          </w:p>
          <w:p>
            <w:pPr>
              <w:pStyle w:val="7"/>
              <w:spacing w:before="2"/>
              <w:ind w:left="30" w:right="36"/>
              <w:jc w:val="both"/>
              <w:rPr>
                <w:sz w:val="14"/>
              </w:rPr>
            </w:pPr>
            <w:r>
              <w:rPr>
                <w:b/>
                <w:sz w:val="14"/>
              </w:rPr>
              <w:t xml:space="preserve">《中华人民共和国大气污染防治法》 第九十八条   </w:t>
            </w:r>
            <w:r>
              <w:rPr>
                <w:sz w:val="14"/>
              </w:rPr>
              <w:t xml:space="preserve">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   门责令改正，处二万元以上二十万元以下的罚款；构成违反治安管理行为的，由公安机关依法予以处罚。 </w:t>
            </w:r>
          </w:p>
          <w:p>
            <w:pPr>
              <w:pStyle w:val="7"/>
              <w:spacing w:before="2"/>
              <w:ind w:left="30" w:right="36"/>
              <w:jc w:val="both"/>
              <w:rPr>
                <w:sz w:val="14"/>
              </w:rPr>
            </w:pPr>
            <w:r>
              <w:rPr>
                <w:b/>
                <w:sz w:val="14"/>
              </w:rPr>
              <w:t xml:space="preserve">《中华人民共和国固体废物污染环境防治法》 第一百零三条   </w:t>
            </w:r>
            <w:r>
              <w:rPr>
                <w:sz w:val="14"/>
              </w:rPr>
              <w:t>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   人员和其他直接责任人员，处二万元以上十万元以下的罚款。</w:t>
            </w:r>
          </w:p>
          <w:p>
            <w:pPr>
              <w:pStyle w:val="7"/>
              <w:spacing w:before="1"/>
              <w:ind w:left="30" w:right="36"/>
              <w:jc w:val="both"/>
              <w:rPr>
                <w:sz w:val="14"/>
              </w:rPr>
            </w:pPr>
            <w:r>
              <w:rPr>
                <w:b/>
                <w:sz w:val="14"/>
              </w:rPr>
              <w:t xml:space="preserve">《中华人民共和国环境噪声污染防治法》 第五十五条   </w:t>
            </w:r>
            <w:r>
              <w:rPr>
                <w:sz w:val="14"/>
              </w:rPr>
              <w:t>排放环境噪声的单位违反本法第二十一条的规定，拒绝生态环境主管部门或者其他依照本法规定行使环境噪声监督管理权的部门、机构现场检查或者在被检查时弄虚作假的，生态环境主管部门或者其他依照本法规定行使环境噪声监督管理权的监督管理部门、机构   可以根据不同情节，给予警告或者处以罚款。</w:t>
            </w:r>
          </w:p>
          <w:p>
            <w:pPr>
              <w:pStyle w:val="7"/>
              <w:spacing w:before="2"/>
              <w:ind w:left="30"/>
              <w:rPr>
                <w:b/>
                <w:sz w:val="14"/>
              </w:rPr>
            </w:pPr>
            <w:r>
              <w:rPr>
                <w:b/>
                <w:sz w:val="14"/>
              </w:rPr>
              <w:t>《中华人民共和国放射性污染防治法》 第四十九条第一款第二项</w:t>
            </w:r>
          </w:p>
          <w:p>
            <w:pPr>
              <w:pStyle w:val="7"/>
              <w:spacing w:before="1"/>
              <w:ind w:left="30"/>
              <w:rPr>
                <w:sz w:val="14"/>
              </w:rPr>
            </w:pPr>
            <w:r>
              <w:rPr>
                <w:sz w:val="14"/>
              </w:rPr>
              <w:t>违反本法规定，有下列行为之一的，由县级以上人民政府环境保护行政主管部门或者其他有关部门依据职权责令限期改正，可以处二万元以下罚款：</w:t>
            </w:r>
          </w:p>
          <w:p>
            <w:pPr>
              <w:pStyle w:val="7"/>
              <w:spacing w:before="1"/>
              <w:ind w:left="30"/>
              <w:rPr>
                <w:sz w:val="14"/>
              </w:rPr>
            </w:pPr>
            <w:r>
              <w:rPr>
                <w:sz w:val="14"/>
              </w:rPr>
              <w:t xml:space="preserve">（二）拒绝环境保护行政主管部门和其他有关部门进行现场检查，或者被检查时不如实反映情况和提供必要资料的。 </w:t>
            </w:r>
          </w:p>
          <w:p>
            <w:pPr>
              <w:pStyle w:val="7"/>
              <w:ind w:left="30" w:right="36"/>
              <w:rPr>
                <w:sz w:val="14"/>
              </w:rPr>
            </w:pPr>
            <w:r>
              <w:rPr>
                <w:b/>
                <w:sz w:val="14"/>
              </w:rPr>
              <w:t xml:space="preserve">《医疗废物管理条例》（国务院令第380号）  第五十条    </w:t>
            </w:r>
            <w:r>
              <w:rPr>
                <w:sz w:val="14"/>
              </w:rPr>
              <w:t xml:space="preserve">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   政主管部门按照各自的职责责令改正，给予警告；拒不改正的，由原发证部门暂扣或者吊销执业许可证件或者经营许可证件；触犯《中华人民共和国治安管理处   罚法》，构成违反治安管理行为的，由公安机关依法予以处罚；构成犯罪的，依法追究刑事责任。  </w:t>
            </w:r>
          </w:p>
          <w:p>
            <w:pPr>
              <w:pStyle w:val="7"/>
              <w:spacing w:before="3"/>
              <w:ind w:left="30" w:right="108"/>
              <w:jc w:val="both"/>
              <w:rPr>
                <w:sz w:val="14"/>
              </w:rPr>
            </w:pPr>
            <w:r>
              <w:rPr>
                <w:b/>
                <w:sz w:val="14"/>
              </w:rPr>
              <w:t xml:space="preserve">《放射性废物安全管理条例》（国务院令第612号） 第四十一条   </w:t>
            </w:r>
            <w:r>
              <w:rPr>
                <w:sz w:val="14"/>
              </w:rPr>
              <w:t xml:space="preserve">违反本条例规定，拒绝、阻碍环境保护主管部门或者其他有关部门的监督检查，或者在接受监督检查时弄虚作假的，由监督检查部门责令改正，处2万元以下的罚款；构成违反治安管理行为的，由公安机关依法给予治安管理处罚；构成犯罪的，依法追   究刑事责任。 </w:t>
            </w:r>
          </w:p>
          <w:p>
            <w:pPr>
              <w:pStyle w:val="7"/>
              <w:spacing w:before="2"/>
              <w:ind w:left="30"/>
              <w:rPr>
                <w:b/>
                <w:sz w:val="14"/>
              </w:rPr>
            </w:pPr>
            <w:r>
              <w:rPr>
                <w:b/>
                <w:sz w:val="14"/>
              </w:rPr>
              <w:t>《医疗废物管理行政处罚办法（试行）》（2004年国家环境保护总局令第21号，2010年修正） 第十二条第二款</w:t>
            </w:r>
            <w:r>
              <w:rPr>
                <w:b/>
                <w:w w:val="101"/>
                <w:sz w:val="14"/>
              </w:rPr>
              <w:t xml:space="preserve"> </w:t>
            </w:r>
          </w:p>
          <w:p>
            <w:pPr>
              <w:pStyle w:val="7"/>
              <w:ind w:left="30" w:right="36"/>
              <w:rPr>
                <w:sz w:val="14"/>
              </w:rPr>
            </w:pPr>
            <w:r>
              <w:rPr>
                <w:sz w:val="14"/>
              </w:rPr>
              <w:t>医疗卫生机构、医疗废物集中处置单位阻碍环境保护行政主管部门执法人员执行职务，拒绝执法人员进入现场，或者不配合执法部门的检查、监测、调查取证     的，由县级以上地方人民政府环境保护行政主管部门依照《中华人民共和国固体废物污染环境防治法》第七十条规定责令限期改正；拒不改正或者在检查时弄虚   作假的，处二千元以上二万元以下的罚款。</w:t>
            </w:r>
          </w:p>
          <w:p>
            <w:pPr>
              <w:pStyle w:val="7"/>
              <w:spacing w:before="2"/>
              <w:ind w:left="30" w:right="104"/>
              <w:jc w:val="both"/>
              <w:rPr>
                <w:sz w:val="14"/>
              </w:rPr>
            </w:pPr>
            <w:r>
              <w:rPr>
                <w:b/>
                <w:sz w:val="14"/>
              </w:rPr>
              <w:t>《电子废物污染环境防治管理办法》</w:t>
            </w:r>
            <w:r>
              <w:rPr>
                <w:b/>
                <w:spacing w:val="2"/>
                <w:sz w:val="14"/>
              </w:rPr>
              <w:t>（2007</w:t>
            </w:r>
            <w:r>
              <w:rPr>
                <w:b/>
                <w:sz w:val="14"/>
              </w:rPr>
              <w:t>年国家环境保护总局令第</w:t>
            </w:r>
            <w:r>
              <w:rPr>
                <w:b/>
                <w:spacing w:val="3"/>
                <w:sz w:val="14"/>
              </w:rPr>
              <w:t>40</w:t>
            </w:r>
            <w:r>
              <w:rPr>
                <w:b/>
                <w:sz w:val="14"/>
              </w:rPr>
              <w:t>号</w:t>
            </w:r>
            <w:r>
              <w:rPr>
                <w:b/>
                <w:spacing w:val="3"/>
                <w:sz w:val="14"/>
              </w:rPr>
              <w:t>）</w:t>
            </w:r>
            <w:r>
              <w:rPr>
                <w:b/>
                <w:spacing w:val="5"/>
                <w:sz w:val="14"/>
              </w:rPr>
              <w:t xml:space="preserve">  第十九条  </w:t>
            </w:r>
            <w:r>
              <w:rPr>
                <w:sz w:val="14"/>
              </w:rPr>
              <w:t>违反本办法规定，拒绝现场检查的，由县级以上人民政府环境保护行政主管部门依据《固体废物污染环境防治法》责令限期改正；拒不改正或者在检查时弄虚作假的，处2000元以上2万元以下的罚款；情节严重，但尚构不成刑事处   罚的，并由公安机关依据《治安管理处罚法》处5日以上10日以下拘留；构成犯罪的，依法追究刑事责任。</w:t>
            </w:r>
          </w:p>
        </w:tc>
        <w:tc>
          <w:tcPr>
            <w:tcW w:w="96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7"/>
              </w:rPr>
            </w:pPr>
          </w:p>
          <w:p>
            <w:pPr>
              <w:pStyle w:val="7"/>
              <w:spacing w:before="1"/>
              <w:ind w:left="41" w:right="18"/>
              <w:jc w:val="center"/>
              <w:rPr>
                <w:sz w:val="14"/>
              </w:rPr>
            </w:pPr>
            <w:r>
              <w:rPr>
                <w:sz w:val="14"/>
              </w:rPr>
              <w:t>省生态环境厅</w:t>
            </w:r>
          </w:p>
        </w:tc>
        <w:tc>
          <w:tcPr>
            <w:tcW w:w="114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6"/>
              </w:rPr>
            </w:pPr>
          </w:p>
          <w:p>
            <w:pPr>
              <w:pStyle w:val="7"/>
              <w:ind w:left="30" w:right="84"/>
              <w:jc w:val="both"/>
              <w:rPr>
                <w:sz w:val="14"/>
              </w:rPr>
            </w:pPr>
            <w:r>
              <w:rPr>
                <w:sz w:val="14"/>
              </w:rPr>
              <w:t>县级以上人民政府生态环境主管部门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2" w:hRule="atLeast"/>
        </w:trPr>
        <w:tc>
          <w:tcPr>
            <w:tcW w:w="456" w:type="dxa"/>
          </w:tcPr>
          <w:p>
            <w:pPr>
              <w:pStyle w:val="7"/>
              <w:rPr>
                <w:rFonts w:ascii="Times New Roman"/>
                <w:sz w:val="14"/>
              </w:rPr>
            </w:pPr>
          </w:p>
          <w:p>
            <w:pPr>
              <w:pStyle w:val="7"/>
              <w:rPr>
                <w:rFonts w:ascii="Times New Roman"/>
                <w:sz w:val="17"/>
              </w:rPr>
            </w:pPr>
          </w:p>
          <w:p>
            <w:pPr>
              <w:pStyle w:val="7"/>
              <w:spacing w:before="1"/>
              <w:ind w:left="28"/>
              <w:jc w:val="center"/>
              <w:rPr>
                <w:sz w:val="14"/>
              </w:rPr>
            </w:pPr>
            <w:r>
              <w:rPr>
                <w:w w:val="102"/>
                <w:sz w:val="14"/>
              </w:rPr>
              <w:t>5</w:t>
            </w:r>
          </w:p>
        </w:tc>
        <w:tc>
          <w:tcPr>
            <w:tcW w:w="2124" w:type="dxa"/>
          </w:tcPr>
          <w:p>
            <w:pPr>
              <w:pStyle w:val="7"/>
              <w:rPr>
                <w:rFonts w:ascii="Times New Roman"/>
                <w:sz w:val="14"/>
              </w:rPr>
            </w:pPr>
          </w:p>
          <w:p>
            <w:pPr>
              <w:pStyle w:val="7"/>
              <w:spacing w:before="105"/>
              <w:ind w:left="30" w:right="60"/>
              <w:rPr>
                <w:sz w:val="14"/>
              </w:rPr>
            </w:pPr>
            <w:r>
              <w:rPr>
                <w:sz w:val="14"/>
              </w:rPr>
              <w:t>对在饮用水水源保护区内设置排污口的行为的处罚</w:t>
            </w:r>
          </w:p>
        </w:tc>
        <w:tc>
          <w:tcPr>
            <w:tcW w:w="840" w:type="dxa"/>
          </w:tcPr>
          <w:p>
            <w:pPr>
              <w:pStyle w:val="7"/>
              <w:rPr>
                <w:rFonts w:ascii="Times New Roman"/>
                <w:sz w:val="14"/>
              </w:rPr>
            </w:pPr>
          </w:p>
          <w:p>
            <w:pPr>
              <w:pStyle w:val="7"/>
              <w:rPr>
                <w:rFonts w:ascii="Times New Roman"/>
                <w:sz w:val="17"/>
              </w:rPr>
            </w:pPr>
          </w:p>
          <w:p>
            <w:pPr>
              <w:pStyle w:val="7"/>
              <w:spacing w:before="1"/>
              <w:ind w:left="24" w:right="1"/>
              <w:jc w:val="center"/>
              <w:rPr>
                <w:sz w:val="14"/>
              </w:rPr>
            </w:pPr>
            <w:r>
              <w:rPr>
                <w:sz w:val="14"/>
              </w:rPr>
              <w:t>行政处罚</w:t>
            </w:r>
          </w:p>
        </w:tc>
        <w:tc>
          <w:tcPr>
            <w:tcW w:w="10164" w:type="dxa"/>
          </w:tcPr>
          <w:p>
            <w:pPr>
              <w:pStyle w:val="7"/>
              <w:spacing w:before="86"/>
              <w:ind w:left="30" w:right="132"/>
              <w:rPr>
                <w:sz w:val="14"/>
              </w:rPr>
            </w:pPr>
            <w:r>
              <w:rPr>
                <w:b/>
                <w:sz w:val="14"/>
              </w:rPr>
              <w:t xml:space="preserve">《中华人民共和国水污染防治法》  第八十四条第一款、第二款  </w:t>
            </w:r>
            <w:r>
              <w:rPr>
                <w:sz w:val="14"/>
              </w:rPr>
              <w:t>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pPr>
              <w:pStyle w:val="7"/>
              <w:spacing w:before="1"/>
              <w:ind w:left="30" w:right="36"/>
              <w:rPr>
                <w:sz w:val="14"/>
              </w:rPr>
            </w:pPr>
            <w:r>
              <w:rPr>
                <w:sz w:val="14"/>
              </w:rPr>
              <w:t>除前款规定外，违反法律、行政法规和国务院环境保护主管部门的规定设置排污口的，由县级以上地方人民政府环境保护主管部门责令限期拆除，处二万元以上   十万元以下的罚款；逾期不拆除的，强制拆除，所需费用由违法者承担，处十万元以上五十万元以下的罚款；情节严重的，可以责令停产整治。</w:t>
            </w:r>
          </w:p>
        </w:tc>
        <w:tc>
          <w:tcPr>
            <w:tcW w:w="960" w:type="dxa"/>
          </w:tcPr>
          <w:p>
            <w:pPr>
              <w:pStyle w:val="7"/>
              <w:rPr>
                <w:rFonts w:ascii="Times New Roman"/>
                <w:sz w:val="14"/>
              </w:rPr>
            </w:pPr>
          </w:p>
          <w:p>
            <w:pPr>
              <w:pStyle w:val="7"/>
              <w:rPr>
                <w:rFonts w:ascii="Times New Roman"/>
                <w:sz w:val="17"/>
              </w:rPr>
            </w:pPr>
          </w:p>
          <w:p>
            <w:pPr>
              <w:pStyle w:val="7"/>
              <w:spacing w:before="1"/>
              <w:ind w:left="41" w:right="18"/>
              <w:jc w:val="center"/>
              <w:rPr>
                <w:sz w:val="14"/>
              </w:rPr>
            </w:pPr>
            <w:r>
              <w:rPr>
                <w:sz w:val="14"/>
              </w:rPr>
              <w:t>省生态环境厅</w:t>
            </w:r>
          </w:p>
        </w:tc>
        <w:tc>
          <w:tcPr>
            <w:tcW w:w="1140" w:type="dxa"/>
          </w:tcPr>
          <w:p>
            <w:pPr>
              <w:pStyle w:val="7"/>
              <w:spacing w:before="4"/>
              <w:rPr>
                <w:rFonts w:ascii="Times New Roman"/>
                <w:sz w:val="15"/>
              </w:rPr>
            </w:pPr>
          </w:p>
          <w:p>
            <w:pPr>
              <w:pStyle w:val="7"/>
              <w:spacing w:before="1"/>
              <w:ind w:left="30" w:right="84"/>
              <w:jc w:val="both"/>
              <w:rPr>
                <w:sz w:val="14"/>
              </w:rPr>
            </w:pPr>
            <w:r>
              <w:rPr>
                <w:sz w:val="14"/>
              </w:rPr>
              <w:t>县级以上人民政府生态环境主管部门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2" w:hRule="atLeast"/>
        </w:trPr>
        <w:tc>
          <w:tcPr>
            <w:tcW w:w="456" w:type="dxa"/>
          </w:tcPr>
          <w:p>
            <w:pPr>
              <w:pStyle w:val="7"/>
              <w:rPr>
                <w:rFonts w:ascii="Times New Roman"/>
                <w:sz w:val="14"/>
              </w:rPr>
            </w:pPr>
          </w:p>
          <w:p>
            <w:pPr>
              <w:pStyle w:val="7"/>
              <w:rPr>
                <w:rFonts w:ascii="Times New Roman"/>
                <w:sz w:val="14"/>
              </w:rPr>
            </w:pPr>
          </w:p>
          <w:p>
            <w:pPr>
              <w:pStyle w:val="7"/>
              <w:spacing w:before="3"/>
              <w:rPr>
                <w:rFonts w:ascii="Times New Roman"/>
                <w:sz w:val="14"/>
              </w:rPr>
            </w:pPr>
          </w:p>
          <w:p>
            <w:pPr>
              <w:pStyle w:val="7"/>
              <w:spacing w:before="1"/>
              <w:ind w:left="28"/>
              <w:jc w:val="center"/>
              <w:rPr>
                <w:sz w:val="14"/>
              </w:rPr>
            </w:pPr>
            <w:r>
              <w:rPr>
                <w:w w:val="102"/>
                <w:sz w:val="14"/>
              </w:rPr>
              <w:t>6</w:t>
            </w:r>
          </w:p>
        </w:tc>
        <w:tc>
          <w:tcPr>
            <w:tcW w:w="2124" w:type="dxa"/>
          </w:tcPr>
          <w:p>
            <w:pPr>
              <w:pStyle w:val="7"/>
              <w:rPr>
                <w:rFonts w:ascii="Times New Roman"/>
                <w:sz w:val="11"/>
              </w:rPr>
            </w:pPr>
          </w:p>
          <w:p>
            <w:pPr>
              <w:pStyle w:val="7"/>
              <w:ind w:left="30" w:right="60"/>
              <w:jc w:val="both"/>
              <w:rPr>
                <w:sz w:val="14"/>
              </w:rPr>
            </w:pPr>
            <w:r>
              <w:rPr>
                <w:sz w:val="14"/>
              </w:rPr>
              <w:t>对在人口集中地区和其他依法需要特殊保护的区域内，焚烧沥青</w:t>
            </w:r>
          </w:p>
          <w:p>
            <w:pPr>
              <w:pStyle w:val="7"/>
              <w:spacing w:before="1"/>
              <w:ind w:left="30" w:right="60"/>
              <w:jc w:val="both"/>
              <w:rPr>
                <w:sz w:val="14"/>
              </w:rPr>
            </w:pPr>
            <w:r>
              <w:rPr>
                <w:sz w:val="14"/>
              </w:rPr>
              <w:t>、油毡、橡胶、塑料、皮革、垃圾以及其他产生有毒有害烟尘和恶臭气体的物质的行为的处罚</w:t>
            </w:r>
          </w:p>
        </w:tc>
        <w:tc>
          <w:tcPr>
            <w:tcW w:w="840" w:type="dxa"/>
          </w:tcPr>
          <w:p>
            <w:pPr>
              <w:pStyle w:val="7"/>
              <w:rPr>
                <w:rFonts w:ascii="Times New Roman"/>
                <w:sz w:val="14"/>
              </w:rPr>
            </w:pPr>
          </w:p>
          <w:p>
            <w:pPr>
              <w:pStyle w:val="7"/>
              <w:rPr>
                <w:rFonts w:ascii="Times New Roman"/>
                <w:sz w:val="14"/>
              </w:rPr>
            </w:pPr>
          </w:p>
          <w:p>
            <w:pPr>
              <w:pStyle w:val="7"/>
              <w:spacing w:before="3"/>
              <w:rPr>
                <w:rFonts w:ascii="Times New Roman"/>
                <w:sz w:val="14"/>
              </w:rPr>
            </w:pPr>
          </w:p>
          <w:p>
            <w:pPr>
              <w:pStyle w:val="7"/>
              <w:spacing w:before="1"/>
              <w:ind w:left="24" w:right="1"/>
              <w:jc w:val="center"/>
              <w:rPr>
                <w:sz w:val="14"/>
              </w:rPr>
            </w:pPr>
            <w:r>
              <w:rPr>
                <w:sz w:val="14"/>
              </w:rPr>
              <w:t>行政处罚</w:t>
            </w:r>
          </w:p>
        </w:tc>
        <w:tc>
          <w:tcPr>
            <w:tcW w:w="10164" w:type="dxa"/>
          </w:tcPr>
          <w:p>
            <w:pPr>
              <w:pStyle w:val="7"/>
              <w:rPr>
                <w:rFonts w:ascii="Times New Roman"/>
                <w:sz w:val="14"/>
              </w:rPr>
            </w:pPr>
          </w:p>
          <w:p>
            <w:pPr>
              <w:pStyle w:val="7"/>
              <w:spacing w:before="7"/>
              <w:rPr>
                <w:rFonts w:ascii="Times New Roman"/>
                <w:sz w:val="12"/>
              </w:rPr>
            </w:pPr>
          </w:p>
          <w:p>
            <w:pPr>
              <w:pStyle w:val="7"/>
              <w:spacing w:before="1"/>
              <w:ind w:left="30" w:right="36"/>
              <w:jc w:val="both"/>
              <w:rPr>
                <w:sz w:val="14"/>
              </w:rPr>
            </w:pPr>
            <w:r>
              <w:rPr>
                <w:b/>
                <w:sz w:val="14"/>
              </w:rPr>
              <w:t xml:space="preserve">《中华人民共和国大气污染防治法》 第一百一十九条第二款   </w:t>
            </w:r>
            <w:r>
              <w:rPr>
                <w:sz w:val="14"/>
              </w:rPr>
              <w:t>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   人处五百元以上二千元以下的罚款。</w:t>
            </w:r>
          </w:p>
        </w:tc>
        <w:tc>
          <w:tcPr>
            <w:tcW w:w="960" w:type="dxa"/>
          </w:tcPr>
          <w:p>
            <w:pPr>
              <w:pStyle w:val="7"/>
              <w:rPr>
                <w:rFonts w:ascii="Times New Roman"/>
                <w:sz w:val="14"/>
              </w:rPr>
            </w:pPr>
          </w:p>
          <w:p>
            <w:pPr>
              <w:pStyle w:val="7"/>
              <w:rPr>
                <w:rFonts w:ascii="Times New Roman"/>
                <w:sz w:val="14"/>
              </w:rPr>
            </w:pPr>
          </w:p>
          <w:p>
            <w:pPr>
              <w:pStyle w:val="7"/>
              <w:spacing w:before="3"/>
              <w:rPr>
                <w:rFonts w:ascii="Times New Roman"/>
                <w:sz w:val="14"/>
              </w:rPr>
            </w:pPr>
          </w:p>
          <w:p>
            <w:pPr>
              <w:pStyle w:val="7"/>
              <w:spacing w:before="1"/>
              <w:ind w:left="41" w:right="18"/>
              <w:jc w:val="center"/>
              <w:rPr>
                <w:sz w:val="14"/>
              </w:rPr>
            </w:pPr>
            <w:r>
              <w:rPr>
                <w:sz w:val="14"/>
              </w:rPr>
              <w:t>省生态环境厅</w:t>
            </w:r>
          </w:p>
        </w:tc>
        <w:tc>
          <w:tcPr>
            <w:tcW w:w="1140" w:type="dxa"/>
          </w:tcPr>
          <w:p>
            <w:pPr>
              <w:pStyle w:val="7"/>
              <w:rPr>
                <w:rFonts w:ascii="Times New Roman"/>
                <w:sz w:val="14"/>
              </w:rPr>
            </w:pPr>
          </w:p>
          <w:p>
            <w:pPr>
              <w:pStyle w:val="7"/>
              <w:spacing w:before="7"/>
              <w:rPr>
                <w:rFonts w:ascii="Times New Roman"/>
                <w:sz w:val="12"/>
              </w:rPr>
            </w:pPr>
          </w:p>
          <w:p>
            <w:pPr>
              <w:pStyle w:val="7"/>
              <w:spacing w:before="1"/>
              <w:ind w:left="30" w:right="84"/>
              <w:jc w:val="both"/>
              <w:rPr>
                <w:sz w:val="14"/>
              </w:rPr>
            </w:pPr>
            <w:r>
              <w:rPr>
                <w:sz w:val="14"/>
              </w:rPr>
              <w:t>县级以上人民政府生态环境主管部门</w:t>
            </w:r>
          </w:p>
        </w:tc>
      </w:tr>
    </w:tbl>
    <w:p>
      <w:pPr>
        <w:spacing w:after="0"/>
        <w:jc w:val="both"/>
        <w:rPr>
          <w:sz w:val="14"/>
        </w:rPr>
        <w:sectPr>
          <w:pgSz w:w="16840" w:h="11910" w:orient="landscape"/>
          <w:pgMar w:top="1100" w:right="460" w:bottom="620" w:left="460" w:header="0" w:footer="437" w:gutter="0"/>
          <w:cols w:space="720" w:num="1"/>
        </w:sectPr>
      </w:pPr>
    </w:p>
    <w:p>
      <w:pPr>
        <w:pStyle w:val="2"/>
        <w:rPr>
          <w:rFonts w:ascii="Times New Roman"/>
          <w:sz w:val="20"/>
        </w:rPr>
      </w:pPr>
    </w:p>
    <w:p>
      <w:pPr>
        <w:pStyle w:val="2"/>
        <w:spacing w:before="5"/>
        <w:rPr>
          <w:rFonts w:ascii="Times New Roman"/>
          <w:sz w:val="16"/>
        </w:rPr>
      </w:pPr>
    </w:p>
    <w:tbl>
      <w:tblPr>
        <w:tblStyle w:val="3"/>
        <w:tblW w:w="0" w:type="auto"/>
        <w:tblInd w:w="1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6"/>
        <w:gridCol w:w="2124"/>
        <w:gridCol w:w="840"/>
        <w:gridCol w:w="10164"/>
        <w:gridCol w:w="960"/>
        <w:gridCol w:w="11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456" w:type="dxa"/>
          </w:tcPr>
          <w:p>
            <w:pPr>
              <w:pStyle w:val="7"/>
              <w:spacing w:before="113"/>
              <w:ind w:left="28"/>
              <w:jc w:val="center"/>
              <w:rPr>
                <w:rFonts w:hint="eastAsia" w:ascii="黑体" w:eastAsia="黑体"/>
                <w:sz w:val="19"/>
              </w:rPr>
            </w:pPr>
            <w:r>
              <w:rPr>
                <w:rFonts w:hint="eastAsia" w:ascii="黑体" w:eastAsia="黑体"/>
                <w:sz w:val="19"/>
              </w:rPr>
              <w:t>序号</w:t>
            </w:r>
          </w:p>
        </w:tc>
        <w:tc>
          <w:tcPr>
            <w:tcW w:w="2124" w:type="dxa"/>
          </w:tcPr>
          <w:p>
            <w:pPr>
              <w:pStyle w:val="7"/>
              <w:spacing w:before="113"/>
              <w:ind w:left="683"/>
              <w:rPr>
                <w:rFonts w:hint="eastAsia" w:ascii="黑体" w:eastAsia="黑体"/>
                <w:sz w:val="19"/>
              </w:rPr>
            </w:pPr>
            <w:r>
              <w:rPr>
                <w:rFonts w:hint="eastAsia" w:ascii="黑体" w:eastAsia="黑体"/>
                <w:sz w:val="19"/>
              </w:rPr>
              <w:t>职权名称</w:t>
            </w:r>
          </w:p>
        </w:tc>
        <w:tc>
          <w:tcPr>
            <w:tcW w:w="840" w:type="dxa"/>
          </w:tcPr>
          <w:p>
            <w:pPr>
              <w:pStyle w:val="7"/>
              <w:spacing w:before="113"/>
              <w:ind w:left="24" w:right="1"/>
              <w:jc w:val="center"/>
              <w:rPr>
                <w:rFonts w:hint="eastAsia" w:ascii="黑体" w:eastAsia="黑体"/>
                <w:sz w:val="19"/>
              </w:rPr>
            </w:pPr>
            <w:r>
              <w:rPr>
                <w:rFonts w:hint="eastAsia" w:ascii="黑体" w:eastAsia="黑体"/>
                <w:sz w:val="19"/>
              </w:rPr>
              <w:t>职权类型</w:t>
            </w:r>
          </w:p>
        </w:tc>
        <w:tc>
          <w:tcPr>
            <w:tcW w:w="10164" w:type="dxa"/>
          </w:tcPr>
          <w:p>
            <w:pPr>
              <w:pStyle w:val="7"/>
              <w:spacing w:before="113"/>
              <w:ind w:left="4687" w:right="4662"/>
              <w:jc w:val="center"/>
              <w:rPr>
                <w:rFonts w:hint="eastAsia" w:ascii="黑体" w:eastAsia="黑体"/>
                <w:sz w:val="19"/>
              </w:rPr>
            </w:pPr>
            <w:r>
              <w:rPr>
                <w:rFonts w:hint="eastAsia" w:ascii="黑体" w:eastAsia="黑体"/>
                <w:sz w:val="19"/>
              </w:rPr>
              <w:t>职权依据</w:t>
            </w:r>
          </w:p>
        </w:tc>
        <w:tc>
          <w:tcPr>
            <w:tcW w:w="960" w:type="dxa"/>
          </w:tcPr>
          <w:p>
            <w:pPr>
              <w:pStyle w:val="7"/>
              <w:spacing w:before="113"/>
              <w:ind w:left="41" w:right="18"/>
              <w:jc w:val="center"/>
              <w:rPr>
                <w:rFonts w:hint="eastAsia" w:ascii="黑体" w:eastAsia="黑体"/>
                <w:sz w:val="19"/>
              </w:rPr>
            </w:pPr>
            <w:r>
              <w:rPr>
                <w:rFonts w:hint="eastAsia" w:ascii="黑体" w:eastAsia="黑体"/>
                <w:sz w:val="19"/>
              </w:rPr>
              <w:t>主管部门</w:t>
            </w:r>
          </w:p>
        </w:tc>
        <w:tc>
          <w:tcPr>
            <w:tcW w:w="1140" w:type="dxa"/>
          </w:tcPr>
          <w:p>
            <w:pPr>
              <w:pStyle w:val="7"/>
              <w:spacing w:before="113"/>
              <w:ind w:left="95"/>
              <w:rPr>
                <w:rFonts w:hint="eastAsia" w:ascii="黑体" w:eastAsia="黑体"/>
                <w:sz w:val="19"/>
              </w:rPr>
            </w:pPr>
            <w:r>
              <w:rPr>
                <w:rFonts w:hint="eastAsia" w:ascii="黑体" w:eastAsia="黑体"/>
                <w:sz w:val="19"/>
              </w:rPr>
              <w:t>原实施主体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45" w:hRule="atLeast"/>
        </w:trPr>
        <w:tc>
          <w:tcPr>
            <w:tcW w:w="4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8"/>
              </w:rPr>
            </w:pPr>
          </w:p>
          <w:p>
            <w:pPr>
              <w:pStyle w:val="7"/>
              <w:ind w:left="28"/>
              <w:jc w:val="center"/>
              <w:rPr>
                <w:sz w:val="14"/>
              </w:rPr>
            </w:pPr>
            <w:r>
              <w:rPr>
                <w:w w:val="102"/>
                <w:sz w:val="14"/>
              </w:rPr>
              <w:t>7</w:t>
            </w:r>
          </w:p>
        </w:tc>
        <w:tc>
          <w:tcPr>
            <w:tcW w:w="2124" w:type="dxa"/>
          </w:tcPr>
          <w:p>
            <w:pPr>
              <w:pStyle w:val="7"/>
              <w:spacing w:before="62"/>
              <w:ind w:left="30" w:right="60"/>
              <w:jc w:val="both"/>
              <w:rPr>
                <w:sz w:val="14"/>
              </w:rPr>
            </w:pPr>
            <w:r>
              <w:rPr>
                <w:sz w:val="14"/>
              </w:rPr>
              <w:t>对在禁燃区内新建、扩建燃用高污染燃料的设施，或者未按照规定停止燃用高污染燃料，或者在城市集中供热管网覆盖地区新建</w:t>
            </w:r>
          </w:p>
          <w:p>
            <w:pPr>
              <w:pStyle w:val="7"/>
              <w:spacing w:before="2"/>
              <w:ind w:left="30" w:right="60"/>
              <w:jc w:val="both"/>
              <w:rPr>
                <w:sz w:val="14"/>
              </w:rPr>
            </w:pPr>
            <w:r>
              <w:rPr>
                <w:sz w:val="14"/>
              </w:rPr>
              <w:t>、扩建分散燃煤供热锅炉，或者未按照规定拆除已建成的不能达标排放的燃煤供热锅炉的行为的处罚</w:t>
            </w:r>
          </w:p>
        </w:tc>
        <w:tc>
          <w:tcPr>
            <w:tcW w:w="84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8"/>
              </w:rPr>
            </w:pPr>
          </w:p>
          <w:p>
            <w:pPr>
              <w:pStyle w:val="7"/>
              <w:ind w:left="24" w:right="1"/>
              <w:jc w:val="center"/>
              <w:rPr>
                <w:sz w:val="14"/>
              </w:rPr>
            </w:pPr>
            <w:r>
              <w:rPr>
                <w:sz w:val="14"/>
              </w:rPr>
              <w:t>行政处罚</w:t>
            </w:r>
          </w:p>
        </w:tc>
        <w:tc>
          <w:tcPr>
            <w:tcW w:w="10164" w:type="dxa"/>
          </w:tcPr>
          <w:p>
            <w:pPr>
              <w:pStyle w:val="7"/>
              <w:rPr>
                <w:rFonts w:ascii="Times New Roman"/>
                <w:sz w:val="14"/>
              </w:rPr>
            </w:pPr>
          </w:p>
          <w:p>
            <w:pPr>
              <w:pStyle w:val="7"/>
              <w:rPr>
                <w:rFonts w:ascii="Times New Roman"/>
                <w:sz w:val="14"/>
              </w:rPr>
            </w:pPr>
          </w:p>
          <w:p>
            <w:pPr>
              <w:pStyle w:val="7"/>
              <w:spacing w:before="7"/>
              <w:rPr>
                <w:rFonts w:ascii="Times New Roman"/>
                <w:sz w:val="16"/>
              </w:rPr>
            </w:pPr>
          </w:p>
          <w:p>
            <w:pPr>
              <w:pStyle w:val="7"/>
              <w:ind w:left="30" w:right="36"/>
              <w:rPr>
                <w:sz w:val="14"/>
              </w:rPr>
            </w:pPr>
            <w:r>
              <w:rPr>
                <w:b/>
                <w:sz w:val="14"/>
              </w:rPr>
              <w:t xml:space="preserve">《中华人民共和国大气污染防治法》第一百零七条第一款     </w:t>
            </w:r>
            <w:r>
              <w:rPr>
                <w:sz w:val="14"/>
              </w:rPr>
              <w:t>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   生态环境主管部门没收燃用高污染燃料的设施，组织拆除燃煤供热锅炉，并处二万元以上二十万元以下的罚款。</w:t>
            </w:r>
          </w:p>
        </w:tc>
        <w:tc>
          <w:tcPr>
            <w:tcW w:w="96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8"/>
              </w:rPr>
            </w:pPr>
          </w:p>
          <w:p>
            <w:pPr>
              <w:pStyle w:val="7"/>
              <w:ind w:left="41" w:right="18"/>
              <w:jc w:val="center"/>
              <w:rPr>
                <w:sz w:val="14"/>
              </w:rPr>
            </w:pPr>
            <w:r>
              <w:rPr>
                <w:sz w:val="14"/>
              </w:rPr>
              <w:t>省生态环境厅</w:t>
            </w:r>
          </w:p>
        </w:tc>
        <w:tc>
          <w:tcPr>
            <w:tcW w:w="1140" w:type="dxa"/>
          </w:tcPr>
          <w:p>
            <w:pPr>
              <w:pStyle w:val="7"/>
              <w:rPr>
                <w:rFonts w:ascii="Times New Roman"/>
                <w:sz w:val="14"/>
              </w:rPr>
            </w:pPr>
          </w:p>
          <w:p>
            <w:pPr>
              <w:pStyle w:val="7"/>
              <w:rPr>
                <w:rFonts w:ascii="Times New Roman"/>
                <w:sz w:val="14"/>
              </w:rPr>
            </w:pPr>
          </w:p>
          <w:p>
            <w:pPr>
              <w:pStyle w:val="7"/>
              <w:spacing w:before="7"/>
              <w:rPr>
                <w:rFonts w:ascii="Times New Roman"/>
                <w:sz w:val="16"/>
              </w:rPr>
            </w:pPr>
          </w:p>
          <w:p>
            <w:pPr>
              <w:pStyle w:val="7"/>
              <w:ind w:left="30" w:right="84"/>
              <w:jc w:val="both"/>
              <w:rPr>
                <w:sz w:val="14"/>
              </w:rPr>
            </w:pPr>
            <w:r>
              <w:rPr>
                <w:sz w:val="14"/>
              </w:rPr>
              <w:t>县级以上人民政府生态环境主管部门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2" w:hRule="atLeast"/>
        </w:trPr>
        <w:tc>
          <w:tcPr>
            <w:tcW w:w="456" w:type="dxa"/>
          </w:tcPr>
          <w:p>
            <w:pPr>
              <w:pStyle w:val="7"/>
              <w:rPr>
                <w:rFonts w:ascii="Times New Roman"/>
                <w:sz w:val="14"/>
              </w:rPr>
            </w:pPr>
          </w:p>
          <w:p>
            <w:pPr>
              <w:pStyle w:val="7"/>
              <w:rPr>
                <w:rFonts w:ascii="Times New Roman"/>
                <w:sz w:val="17"/>
              </w:rPr>
            </w:pPr>
          </w:p>
          <w:p>
            <w:pPr>
              <w:pStyle w:val="7"/>
              <w:spacing w:before="1"/>
              <w:ind w:left="28"/>
              <w:jc w:val="center"/>
              <w:rPr>
                <w:sz w:val="14"/>
              </w:rPr>
            </w:pPr>
            <w:r>
              <w:rPr>
                <w:w w:val="102"/>
                <w:sz w:val="14"/>
              </w:rPr>
              <w:t>8</w:t>
            </w:r>
          </w:p>
        </w:tc>
        <w:tc>
          <w:tcPr>
            <w:tcW w:w="2124" w:type="dxa"/>
          </w:tcPr>
          <w:p>
            <w:pPr>
              <w:pStyle w:val="7"/>
              <w:spacing w:before="86"/>
              <w:ind w:left="30"/>
              <w:rPr>
                <w:sz w:val="14"/>
              </w:rPr>
            </w:pPr>
            <w:r>
              <w:rPr>
                <w:sz w:val="14"/>
              </w:rPr>
              <w:t>对从事畜禽规模养殖未及时收集</w:t>
            </w:r>
          </w:p>
          <w:p>
            <w:pPr>
              <w:pStyle w:val="7"/>
              <w:ind w:left="30" w:right="60"/>
              <w:jc w:val="both"/>
              <w:rPr>
                <w:sz w:val="14"/>
              </w:rPr>
            </w:pPr>
            <w:r>
              <w:rPr>
                <w:sz w:val="14"/>
              </w:rPr>
              <w:t>、贮存、利用或者处置养殖过程中产生的畜禽粪污等固体废物的行为的处罚</w:t>
            </w:r>
          </w:p>
        </w:tc>
        <w:tc>
          <w:tcPr>
            <w:tcW w:w="840" w:type="dxa"/>
          </w:tcPr>
          <w:p>
            <w:pPr>
              <w:pStyle w:val="7"/>
              <w:rPr>
                <w:rFonts w:ascii="Times New Roman"/>
                <w:sz w:val="14"/>
              </w:rPr>
            </w:pPr>
          </w:p>
          <w:p>
            <w:pPr>
              <w:pStyle w:val="7"/>
              <w:rPr>
                <w:rFonts w:ascii="Times New Roman"/>
                <w:sz w:val="17"/>
              </w:rPr>
            </w:pPr>
          </w:p>
          <w:p>
            <w:pPr>
              <w:pStyle w:val="7"/>
              <w:spacing w:before="1"/>
              <w:ind w:left="24" w:right="1"/>
              <w:jc w:val="center"/>
              <w:rPr>
                <w:sz w:val="14"/>
              </w:rPr>
            </w:pPr>
            <w:r>
              <w:rPr>
                <w:sz w:val="14"/>
              </w:rPr>
              <w:t>行政处罚</w:t>
            </w:r>
          </w:p>
        </w:tc>
        <w:tc>
          <w:tcPr>
            <w:tcW w:w="10164" w:type="dxa"/>
          </w:tcPr>
          <w:p>
            <w:pPr>
              <w:pStyle w:val="7"/>
              <w:rPr>
                <w:rFonts w:ascii="Times New Roman"/>
                <w:sz w:val="14"/>
              </w:rPr>
            </w:pPr>
          </w:p>
          <w:p>
            <w:pPr>
              <w:pStyle w:val="7"/>
              <w:spacing w:before="105"/>
              <w:ind w:left="30" w:right="137"/>
              <w:rPr>
                <w:sz w:val="14"/>
              </w:rPr>
            </w:pPr>
            <w:r>
              <w:rPr>
                <w:b/>
                <w:spacing w:val="1"/>
                <w:sz w:val="14"/>
              </w:rPr>
              <w:t xml:space="preserve">《中华人民共和国固体废物污染环境防治法》第一百零七条   </w:t>
            </w:r>
            <w:r>
              <w:rPr>
                <w:sz w:val="14"/>
              </w:rPr>
              <w:t>从事畜禽规模养殖未及时收集、贮存、利用或者处置养殖过程中产生的畜禽粪污等固体废物的， 由生态环境主管部门责令改正，可以处十万元以下的罚款；情节严重的，报经有批准权的人民政府批准，责令停业或者关闭。</w:t>
            </w:r>
          </w:p>
        </w:tc>
        <w:tc>
          <w:tcPr>
            <w:tcW w:w="960" w:type="dxa"/>
          </w:tcPr>
          <w:p>
            <w:pPr>
              <w:pStyle w:val="7"/>
              <w:rPr>
                <w:rFonts w:ascii="Times New Roman"/>
                <w:sz w:val="14"/>
              </w:rPr>
            </w:pPr>
          </w:p>
          <w:p>
            <w:pPr>
              <w:pStyle w:val="7"/>
              <w:rPr>
                <w:rFonts w:ascii="Times New Roman"/>
                <w:sz w:val="17"/>
              </w:rPr>
            </w:pPr>
          </w:p>
          <w:p>
            <w:pPr>
              <w:pStyle w:val="7"/>
              <w:spacing w:before="1"/>
              <w:ind w:left="41" w:right="18"/>
              <w:jc w:val="center"/>
              <w:rPr>
                <w:sz w:val="14"/>
              </w:rPr>
            </w:pPr>
            <w:r>
              <w:rPr>
                <w:sz w:val="14"/>
              </w:rPr>
              <w:t>省生态环境厅</w:t>
            </w:r>
          </w:p>
        </w:tc>
        <w:tc>
          <w:tcPr>
            <w:tcW w:w="1140" w:type="dxa"/>
          </w:tcPr>
          <w:p>
            <w:pPr>
              <w:pStyle w:val="7"/>
              <w:spacing w:before="4"/>
              <w:rPr>
                <w:rFonts w:ascii="Times New Roman"/>
                <w:sz w:val="15"/>
              </w:rPr>
            </w:pPr>
          </w:p>
          <w:p>
            <w:pPr>
              <w:pStyle w:val="7"/>
              <w:spacing w:before="1"/>
              <w:ind w:left="30" w:right="84"/>
              <w:jc w:val="both"/>
              <w:rPr>
                <w:sz w:val="14"/>
              </w:rPr>
            </w:pPr>
            <w:r>
              <w:rPr>
                <w:sz w:val="14"/>
              </w:rPr>
              <w:t>县级以上人民政府生态环境主管部门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4" w:hRule="atLeast"/>
        </w:trPr>
        <w:tc>
          <w:tcPr>
            <w:tcW w:w="456" w:type="dxa"/>
          </w:tcPr>
          <w:p>
            <w:pPr>
              <w:pStyle w:val="7"/>
              <w:rPr>
                <w:rFonts w:ascii="Times New Roman"/>
                <w:sz w:val="14"/>
              </w:rPr>
            </w:pPr>
          </w:p>
          <w:p>
            <w:pPr>
              <w:pStyle w:val="7"/>
              <w:spacing w:before="122"/>
              <w:ind w:left="28"/>
              <w:jc w:val="center"/>
              <w:rPr>
                <w:sz w:val="14"/>
              </w:rPr>
            </w:pPr>
            <w:r>
              <w:rPr>
                <w:w w:val="102"/>
                <w:sz w:val="14"/>
              </w:rPr>
              <w:t>9</w:t>
            </w:r>
          </w:p>
        </w:tc>
        <w:tc>
          <w:tcPr>
            <w:tcW w:w="2124" w:type="dxa"/>
          </w:tcPr>
          <w:p>
            <w:pPr>
              <w:pStyle w:val="7"/>
              <w:spacing w:before="103"/>
              <w:ind w:left="30" w:right="60"/>
              <w:jc w:val="both"/>
              <w:rPr>
                <w:sz w:val="14"/>
              </w:rPr>
            </w:pPr>
            <w:r>
              <w:rPr>
                <w:sz w:val="14"/>
              </w:rPr>
              <w:t>对未经业主大会同意，物业服务企业擅自改变物业管理用房用途的行为的处罚</w:t>
            </w:r>
          </w:p>
        </w:tc>
        <w:tc>
          <w:tcPr>
            <w:tcW w:w="840" w:type="dxa"/>
          </w:tcPr>
          <w:p>
            <w:pPr>
              <w:pStyle w:val="7"/>
              <w:rPr>
                <w:rFonts w:ascii="Times New Roman"/>
                <w:sz w:val="14"/>
              </w:rPr>
            </w:pPr>
          </w:p>
          <w:p>
            <w:pPr>
              <w:pStyle w:val="7"/>
              <w:spacing w:before="122"/>
              <w:ind w:left="24" w:right="1"/>
              <w:jc w:val="center"/>
              <w:rPr>
                <w:sz w:val="14"/>
              </w:rPr>
            </w:pPr>
            <w:r>
              <w:rPr>
                <w:sz w:val="14"/>
              </w:rPr>
              <w:t>行政处罚</w:t>
            </w:r>
          </w:p>
        </w:tc>
        <w:tc>
          <w:tcPr>
            <w:tcW w:w="10164" w:type="dxa"/>
          </w:tcPr>
          <w:p>
            <w:pPr>
              <w:pStyle w:val="7"/>
              <w:spacing w:before="103"/>
              <w:ind w:left="30" w:right="63"/>
              <w:jc w:val="both"/>
              <w:rPr>
                <w:sz w:val="14"/>
              </w:rPr>
            </w:pPr>
            <w:r>
              <w:rPr>
                <w:b/>
                <w:sz w:val="14"/>
              </w:rPr>
              <w:t>《物业管理条例》</w:t>
            </w:r>
            <w:r>
              <w:rPr>
                <w:b/>
                <w:spacing w:val="3"/>
                <w:sz w:val="14"/>
              </w:rPr>
              <w:t>（</w:t>
            </w:r>
            <w:r>
              <w:rPr>
                <w:b/>
                <w:sz w:val="14"/>
              </w:rPr>
              <w:t>国务院令第</w:t>
            </w:r>
            <w:r>
              <w:rPr>
                <w:b/>
                <w:spacing w:val="3"/>
                <w:sz w:val="14"/>
              </w:rPr>
              <w:t>698号）</w:t>
            </w:r>
            <w:r>
              <w:rPr>
                <w:b/>
                <w:spacing w:val="4"/>
                <w:sz w:val="14"/>
              </w:rPr>
              <w:t xml:space="preserve">第六十二条    </w:t>
            </w:r>
            <w:r>
              <w:rPr>
                <w:sz w:val="14"/>
              </w:rPr>
              <w:t>违反本条例的规定，未经业主大会同意，物业服务企业擅自改变物业管理用房的用途的，应由县级以上地方人民政府房地产行政主管部门责令限期改正，给予警告，并处1万元以上10万元以下的罚款；有收益的，所得收益用于物业管理区域内物业共用部位、共用设   施设备的维修、养护，剩余部分按照业主大会的决定使用。</w:t>
            </w:r>
          </w:p>
        </w:tc>
        <w:tc>
          <w:tcPr>
            <w:tcW w:w="960" w:type="dxa"/>
          </w:tcPr>
          <w:p>
            <w:pPr>
              <w:pStyle w:val="7"/>
              <w:rPr>
                <w:rFonts w:ascii="Times New Roman"/>
                <w:sz w:val="14"/>
              </w:rPr>
            </w:pPr>
          </w:p>
          <w:p>
            <w:pPr>
              <w:pStyle w:val="7"/>
              <w:spacing w:before="122"/>
              <w:ind w:left="44" w:right="16"/>
              <w:jc w:val="center"/>
              <w:rPr>
                <w:sz w:val="14"/>
              </w:rPr>
            </w:pPr>
            <w:r>
              <w:rPr>
                <w:sz w:val="14"/>
              </w:rPr>
              <w:t>省住建厅</w:t>
            </w:r>
          </w:p>
        </w:tc>
        <w:tc>
          <w:tcPr>
            <w:tcW w:w="1140" w:type="dxa"/>
          </w:tcPr>
          <w:p>
            <w:pPr>
              <w:pStyle w:val="7"/>
              <w:spacing w:before="103"/>
              <w:ind w:left="30" w:right="84"/>
              <w:jc w:val="both"/>
              <w:rPr>
                <w:sz w:val="14"/>
              </w:rPr>
            </w:pPr>
            <w:r>
              <w:rPr>
                <w:sz w:val="14"/>
              </w:rPr>
              <w:t>县级以上人民政府房地产行政主管部门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9" w:hRule="atLeast"/>
        </w:trPr>
        <w:tc>
          <w:tcPr>
            <w:tcW w:w="456" w:type="dxa"/>
          </w:tcPr>
          <w:p>
            <w:pPr>
              <w:pStyle w:val="7"/>
              <w:rPr>
                <w:rFonts w:ascii="Times New Roman"/>
                <w:sz w:val="14"/>
              </w:rPr>
            </w:pPr>
          </w:p>
          <w:p>
            <w:pPr>
              <w:pStyle w:val="7"/>
              <w:rPr>
                <w:rFonts w:ascii="Times New Roman"/>
                <w:sz w:val="14"/>
              </w:rPr>
            </w:pPr>
          </w:p>
          <w:p>
            <w:pPr>
              <w:pStyle w:val="7"/>
              <w:spacing w:before="7"/>
              <w:rPr>
                <w:rFonts w:ascii="Times New Roman"/>
                <w:sz w:val="11"/>
              </w:rPr>
            </w:pPr>
          </w:p>
          <w:p>
            <w:pPr>
              <w:pStyle w:val="7"/>
              <w:ind w:left="29"/>
              <w:jc w:val="center"/>
              <w:rPr>
                <w:sz w:val="14"/>
              </w:rPr>
            </w:pPr>
            <w:r>
              <w:rPr>
                <w:sz w:val="14"/>
              </w:rPr>
              <w:t>10</w:t>
            </w:r>
          </w:p>
        </w:tc>
        <w:tc>
          <w:tcPr>
            <w:tcW w:w="2124" w:type="dxa"/>
          </w:tcPr>
          <w:p>
            <w:pPr>
              <w:pStyle w:val="7"/>
              <w:rPr>
                <w:rFonts w:ascii="Times New Roman"/>
                <w:sz w:val="14"/>
              </w:rPr>
            </w:pPr>
          </w:p>
          <w:p>
            <w:pPr>
              <w:pStyle w:val="7"/>
              <w:spacing w:before="114"/>
              <w:ind w:left="30" w:right="60"/>
              <w:jc w:val="both"/>
              <w:rPr>
                <w:sz w:val="14"/>
              </w:rPr>
            </w:pPr>
            <w:r>
              <w:rPr>
                <w:sz w:val="14"/>
              </w:rPr>
              <w:t>对擅自改变物业管理区域内公共建筑和共用设施用途的行为的处罚</w:t>
            </w:r>
          </w:p>
        </w:tc>
        <w:tc>
          <w:tcPr>
            <w:tcW w:w="840" w:type="dxa"/>
          </w:tcPr>
          <w:p>
            <w:pPr>
              <w:pStyle w:val="7"/>
              <w:rPr>
                <w:rFonts w:ascii="Times New Roman"/>
                <w:sz w:val="14"/>
              </w:rPr>
            </w:pPr>
          </w:p>
          <w:p>
            <w:pPr>
              <w:pStyle w:val="7"/>
              <w:rPr>
                <w:rFonts w:ascii="Times New Roman"/>
                <w:sz w:val="14"/>
              </w:rPr>
            </w:pPr>
          </w:p>
          <w:p>
            <w:pPr>
              <w:pStyle w:val="7"/>
              <w:spacing w:before="7"/>
              <w:rPr>
                <w:rFonts w:ascii="Times New Roman"/>
                <w:sz w:val="11"/>
              </w:rPr>
            </w:pPr>
          </w:p>
          <w:p>
            <w:pPr>
              <w:pStyle w:val="7"/>
              <w:ind w:left="24" w:right="1"/>
              <w:jc w:val="center"/>
              <w:rPr>
                <w:sz w:val="14"/>
              </w:rPr>
            </w:pPr>
            <w:r>
              <w:rPr>
                <w:sz w:val="14"/>
              </w:rPr>
              <w:t>行政处罚</w:t>
            </w:r>
          </w:p>
        </w:tc>
        <w:tc>
          <w:tcPr>
            <w:tcW w:w="10164" w:type="dxa"/>
          </w:tcPr>
          <w:p>
            <w:pPr>
              <w:pStyle w:val="7"/>
              <w:rPr>
                <w:rFonts w:ascii="Times New Roman"/>
                <w:sz w:val="16"/>
              </w:rPr>
            </w:pPr>
          </w:p>
          <w:p>
            <w:pPr>
              <w:pStyle w:val="7"/>
              <w:ind w:left="30" w:right="36"/>
              <w:jc w:val="both"/>
              <w:rPr>
                <w:sz w:val="14"/>
              </w:rPr>
            </w:pPr>
            <w:r>
              <w:rPr>
                <w:b/>
                <w:sz w:val="14"/>
              </w:rPr>
              <w:t xml:space="preserve">《物业管理条例》（国务院令第698号）第六十三条第一款第一项、第二款    </w:t>
            </w:r>
            <w:r>
              <w:rPr>
                <w:sz w:val="14"/>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   业主大会的决定使用：（一）擅自改变物业管理区域内按照规划建设的公共建筑和共用设施用途的；</w:t>
            </w:r>
          </w:p>
          <w:p>
            <w:pPr>
              <w:pStyle w:val="7"/>
              <w:spacing w:before="2"/>
              <w:ind w:left="30"/>
              <w:jc w:val="both"/>
              <w:rPr>
                <w:sz w:val="14"/>
              </w:rPr>
            </w:pPr>
            <w:r>
              <w:rPr>
                <w:sz w:val="14"/>
              </w:rPr>
              <w:t>个人有前款规定行为之一的，处1000元以上1万元以下的罚款；单位有前款规定行为之一的，处5万元以上20万元以下的罚款。</w:t>
            </w:r>
          </w:p>
        </w:tc>
        <w:tc>
          <w:tcPr>
            <w:tcW w:w="960" w:type="dxa"/>
          </w:tcPr>
          <w:p>
            <w:pPr>
              <w:pStyle w:val="7"/>
              <w:rPr>
                <w:rFonts w:ascii="Times New Roman"/>
                <w:sz w:val="14"/>
              </w:rPr>
            </w:pPr>
          </w:p>
          <w:p>
            <w:pPr>
              <w:pStyle w:val="7"/>
              <w:rPr>
                <w:rFonts w:ascii="Times New Roman"/>
                <w:sz w:val="14"/>
              </w:rPr>
            </w:pPr>
          </w:p>
          <w:p>
            <w:pPr>
              <w:pStyle w:val="7"/>
              <w:spacing w:before="7"/>
              <w:rPr>
                <w:rFonts w:ascii="Times New Roman"/>
                <w:sz w:val="11"/>
              </w:rPr>
            </w:pPr>
          </w:p>
          <w:p>
            <w:pPr>
              <w:pStyle w:val="7"/>
              <w:ind w:left="44" w:right="16"/>
              <w:jc w:val="center"/>
              <w:rPr>
                <w:sz w:val="14"/>
              </w:rPr>
            </w:pPr>
            <w:r>
              <w:rPr>
                <w:sz w:val="14"/>
              </w:rPr>
              <w:t>省住建厅</w:t>
            </w:r>
          </w:p>
        </w:tc>
        <w:tc>
          <w:tcPr>
            <w:tcW w:w="1140" w:type="dxa"/>
          </w:tcPr>
          <w:p>
            <w:pPr>
              <w:pStyle w:val="7"/>
              <w:rPr>
                <w:rFonts w:ascii="Times New Roman"/>
                <w:sz w:val="14"/>
              </w:rPr>
            </w:pPr>
          </w:p>
          <w:p>
            <w:pPr>
              <w:pStyle w:val="7"/>
              <w:spacing w:before="114"/>
              <w:ind w:left="30" w:right="84"/>
              <w:jc w:val="both"/>
              <w:rPr>
                <w:sz w:val="14"/>
              </w:rPr>
            </w:pPr>
            <w:r>
              <w:rPr>
                <w:sz w:val="14"/>
              </w:rPr>
              <w:t>县级以上人民政府房地产行政主管部门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5" w:hRule="atLeast"/>
        </w:trPr>
        <w:tc>
          <w:tcPr>
            <w:tcW w:w="456" w:type="dxa"/>
          </w:tcPr>
          <w:p>
            <w:pPr>
              <w:pStyle w:val="7"/>
              <w:rPr>
                <w:rFonts w:ascii="Times New Roman"/>
                <w:sz w:val="14"/>
              </w:rPr>
            </w:pPr>
          </w:p>
          <w:p>
            <w:pPr>
              <w:pStyle w:val="7"/>
              <w:rPr>
                <w:rFonts w:ascii="Times New Roman"/>
                <w:sz w:val="14"/>
              </w:rPr>
            </w:pPr>
          </w:p>
          <w:p>
            <w:pPr>
              <w:pStyle w:val="7"/>
              <w:rPr>
                <w:rFonts w:ascii="Times New Roman"/>
                <w:sz w:val="11"/>
              </w:rPr>
            </w:pPr>
          </w:p>
          <w:p>
            <w:pPr>
              <w:pStyle w:val="7"/>
              <w:ind w:left="29"/>
              <w:jc w:val="center"/>
              <w:rPr>
                <w:sz w:val="14"/>
              </w:rPr>
            </w:pPr>
            <w:r>
              <w:rPr>
                <w:sz w:val="14"/>
              </w:rPr>
              <w:t>11</w:t>
            </w:r>
          </w:p>
        </w:tc>
        <w:tc>
          <w:tcPr>
            <w:tcW w:w="2124" w:type="dxa"/>
          </w:tcPr>
          <w:p>
            <w:pPr>
              <w:pStyle w:val="7"/>
              <w:rPr>
                <w:rFonts w:ascii="Times New Roman"/>
                <w:sz w:val="14"/>
              </w:rPr>
            </w:pPr>
          </w:p>
          <w:p>
            <w:pPr>
              <w:pStyle w:val="7"/>
              <w:rPr>
                <w:rFonts w:ascii="Times New Roman"/>
                <w:sz w:val="17"/>
              </w:rPr>
            </w:pPr>
          </w:p>
          <w:p>
            <w:pPr>
              <w:pStyle w:val="7"/>
              <w:spacing w:before="1"/>
              <w:ind w:left="30" w:right="60"/>
              <w:rPr>
                <w:sz w:val="14"/>
              </w:rPr>
            </w:pPr>
            <w:r>
              <w:rPr>
                <w:sz w:val="14"/>
              </w:rPr>
              <w:t>对公共场所随地吐痰的行为的处罚</w:t>
            </w:r>
          </w:p>
        </w:tc>
        <w:tc>
          <w:tcPr>
            <w:tcW w:w="840" w:type="dxa"/>
          </w:tcPr>
          <w:p>
            <w:pPr>
              <w:pStyle w:val="7"/>
              <w:rPr>
                <w:rFonts w:ascii="Times New Roman"/>
                <w:sz w:val="14"/>
              </w:rPr>
            </w:pPr>
          </w:p>
          <w:p>
            <w:pPr>
              <w:pStyle w:val="7"/>
              <w:rPr>
                <w:rFonts w:ascii="Times New Roman"/>
                <w:sz w:val="14"/>
              </w:rPr>
            </w:pPr>
          </w:p>
          <w:p>
            <w:pPr>
              <w:pStyle w:val="7"/>
              <w:rPr>
                <w:rFonts w:ascii="Times New Roman"/>
                <w:sz w:val="11"/>
              </w:rPr>
            </w:pPr>
          </w:p>
          <w:p>
            <w:pPr>
              <w:pStyle w:val="7"/>
              <w:ind w:left="24" w:right="1"/>
              <w:jc w:val="center"/>
              <w:rPr>
                <w:sz w:val="14"/>
              </w:rPr>
            </w:pPr>
            <w:r>
              <w:rPr>
                <w:sz w:val="14"/>
              </w:rPr>
              <w:t>行政处罚</w:t>
            </w:r>
          </w:p>
        </w:tc>
        <w:tc>
          <w:tcPr>
            <w:tcW w:w="10164" w:type="dxa"/>
          </w:tcPr>
          <w:p>
            <w:pPr>
              <w:pStyle w:val="7"/>
              <w:spacing w:before="88"/>
              <w:ind w:left="30" w:right="36"/>
              <w:rPr>
                <w:sz w:val="14"/>
              </w:rPr>
            </w:pPr>
            <w:r>
              <w:rPr>
                <w:b/>
                <w:sz w:val="14"/>
              </w:rPr>
              <w:t xml:space="preserve">《山西省禁止公共场所随地吐痰的规定》（省第十三届人大常委会第十八次会议于2020年5月15日通过）第十五条   </w:t>
            </w:r>
            <w:r>
              <w:rPr>
                <w:sz w:val="14"/>
              </w:rPr>
              <w:t>在公共场所随地吐痰的，由县级以上人民政府城市管理行政执法部门或者其依法委托的单位责令清除痰渍，并可以予以警告；拒不清除的，可以按照下列规定予以处罚：（一）在室外公共场所随地吐痰     的，处一百元以上二百元以下的罚款；（二）在室内公共场所随地吐痰的，处二百元以上三百元以下的罚款；（三）在公共交通工具、电梯轿厢等公共密闭空间   内随地吐痰的，处三百元以上五百元以下的罚款。</w:t>
            </w:r>
          </w:p>
          <w:p>
            <w:pPr>
              <w:pStyle w:val="7"/>
              <w:spacing w:before="3"/>
              <w:ind w:left="30"/>
              <w:rPr>
                <w:sz w:val="14"/>
              </w:rPr>
            </w:pPr>
            <w:r>
              <w:rPr>
                <w:sz w:val="14"/>
              </w:rPr>
              <w:t>违反本规定的其他行为，法律、行政法规已有法律责任规定的，从其规定。</w:t>
            </w:r>
          </w:p>
        </w:tc>
        <w:tc>
          <w:tcPr>
            <w:tcW w:w="960" w:type="dxa"/>
          </w:tcPr>
          <w:p>
            <w:pPr>
              <w:pStyle w:val="7"/>
              <w:rPr>
                <w:rFonts w:ascii="Times New Roman"/>
                <w:sz w:val="14"/>
              </w:rPr>
            </w:pPr>
          </w:p>
          <w:p>
            <w:pPr>
              <w:pStyle w:val="7"/>
              <w:rPr>
                <w:rFonts w:ascii="Times New Roman"/>
                <w:sz w:val="14"/>
              </w:rPr>
            </w:pPr>
          </w:p>
          <w:p>
            <w:pPr>
              <w:pStyle w:val="7"/>
              <w:rPr>
                <w:rFonts w:ascii="Times New Roman"/>
                <w:sz w:val="11"/>
              </w:rPr>
            </w:pPr>
          </w:p>
          <w:p>
            <w:pPr>
              <w:pStyle w:val="7"/>
              <w:ind w:left="44" w:right="16"/>
              <w:jc w:val="center"/>
              <w:rPr>
                <w:sz w:val="14"/>
              </w:rPr>
            </w:pPr>
            <w:r>
              <w:rPr>
                <w:sz w:val="14"/>
              </w:rPr>
              <w:t>省住建厅</w:t>
            </w:r>
          </w:p>
        </w:tc>
        <w:tc>
          <w:tcPr>
            <w:tcW w:w="1140" w:type="dxa"/>
          </w:tcPr>
          <w:p>
            <w:pPr>
              <w:pStyle w:val="7"/>
              <w:rPr>
                <w:rFonts w:ascii="Times New Roman"/>
                <w:sz w:val="14"/>
              </w:rPr>
            </w:pPr>
          </w:p>
          <w:p>
            <w:pPr>
              <w:pStyle w:val="7"/>
              <w:rPr>
                <w:rFonts w:ascii="Times New Roman"/>
                <w:sz w:val="17"/>
              </w:rPr>
            </w:pPr>
          </w:p>
          <w:p>
            <w:pPr>
              <w:pStyle w:val="7"/>
              <w:spacing w:before="1"/>
              <w:ind w:left="30" w:right="84"/>
              <w:rPr>
                <w:sz w:val="14"/>
              </w:rPr>
            </w:pPr>
            <w:r>
              <w:rPr>
                <w:sz w:val="14"/>
              </w:rPr>
              <w:t>县级以上城市管理行政执法部门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8" w:hRule="atLeast"/>
        </w:trPr>
        <w:tc>
          <w:tcPr>
            <w:tcW w:w="456" w:type="dxa"/>
          </w:tcPr>
          <w:p>
            <w:pPr>
              <w:pStyle w:val="7"/>
              <w:rPr>
                <w:rFonts w:ascii="Times New Roman"/>
                <w:sz w:val="14"/>
              </w:rPr>
            </w:pPr>
          </w:p>
          <w:p>
            <w:pPr>
              <w:pStyle w:val="7"/>
              <w:spacing w:before="3"/>
              <w:rPr>
                <w:rFonts w:ascii="Times New Roman"/>
                <w:sz w:val="13"/>
              </w:rPr>
            </w:pPr>
          </w:p>
          <w:p>
            <w:pPr>
              <w:pStyle w:val="7"/>
              <w:ind w:left="29"/>
              <w:jc w:val="center"/>
              <w:rPr>
                <w:sz w:val="14"/>
              </w:rPr>
            </w:pPr>
            <w:r>
              <w:rPr>
                <w:sz w:val="14"/>
              </w:rPr>
              <w:t>12</w:t>
            </w:r>
          </w:p>
        </w:tc>
        <w:tc>
          <w:tcPr>
            <w:tcW w:w="2124" w:type="dxa"/>
          </w:tcPr>
          <w:p>
            <w:pPr>
              <w:pStyle w:val="7"/>
              <w:spacing w:before="6"/>
              <w:rPr>
                <w:rFonts w:ascii="Times New Roman"/>
                <w:sz w:val="19"/>
              </w:rPr>
            </w:pPr>
          </w:p>
          <w:p>
            <w:pPr>
              <w:pStyle w:val="7"/>
              <w:spacing w:before="1"/>
              <w:ind w:left="30" w:right="60"/>
              <w:rPr>
                <w:sz w:val="14"/>
              </w:rPr>
            </w:pPr>
            <w:r>
              <w:rPr>
                <w:sz w:val="14"/>
              </w:rPr>
              <w:t>对随意倾倒、抛撒、堆放或者焚烧生活垃圾的行为的处罚</w:t>
            </w:r>
          </w:p>
        </w:tc>
        <w:tc>
          <w:tcPr>
            <w:tcW w:w="840" w:type="dxa"/>
          </w:tcPr>
          <w:p>
            <w:pPr>
              <w:pStyle w:val="7"/>
              <w:rPr>
                <w:rFonts w:ascii="Times New Roman"/>
                <w:sz w:val="14"/>
              </w:rPr>
            </w:pPr>
          </w:p>
          <w:p>
            <w:pPr>
              <w:pStyle w:val="7"/>
              <w:spacing w:before="3"/>
              <w:rPr>
                <w:rFonts w:ascii="Times New Roman"/>
                <w:sz w:val="13"/>
              </w:rPr>
            </w:pPr>
          </w:p>
          <w:p>
            <w:pPr>
              <w:pStyle w:val="7"/>
              <w:ind w:left="24" w:right="1"/>
              <w:jc w:val="center"/>
              <w:rPr>
                <w:sz w:val="14"/>
              </w:rPr>
            </w:pPr>
            <w:r>
              <w:rPr>
                <w:sz w:val="14"/>
              </w:rPr>
              <w:t>行政处罚</w:t>
            </w:r>
          </w:p>
        </w:tc>
        <w:tc>
          <w:tcPr>
            <w:tcW w:w="10164" w:type="dxa"/>
          </w:tcPr>
          <w:p>
            <w:pPr>
              <w:pStyle w:val="7"/>
              <w:spacing w:before="7"/>
              <w:rPr>
                <w:rFonts w:ascii="Times New Roman"/>
                <w:sz w:val="11"/>
              </w:rPr>
            </w:pPr>
          </w:p>
          <w:p>
            <w:pPr>
              <w:pStyle w:val="7"/>
              <w:ind w:left="30" w:right="116"/>
              <w:rPr>
                <w:sz w:val="14"/>
              </w:rPr>
            </w:pPr>
            <w:r>
              <w:rPr>
                <w:b/>
                <w:sz w:val="14"/>
              </w:rPr>
              <w:t>《中华人民共和国固体废物污染环境防治法》第一百一十一条第一款第一项、第二款、第三款</w:t>
            </w:r>
            <w:r>
              <w:rPr>
                <w:sz w:val="14"/>
              </w:rPr>
              <w:t>违反本法规定，有下列行为之一，由县级以上地方人民政府环境   卫生主管部门责令改正，处以罚款，没收违法所得：（一）随意倾倒、抛撒、堆放或者焚烧生活垃圾的；</w:t>
            </w:r>
          </w:p>
          <w:p>
            <w:pPr>
              <w:pStyle w:val="7"/>
              <w:spacing w:before="2"/>
              <w:ind w:left="30"/>
              <w:rPr>
                <w:sz w:val="14"/>
              </w:rPr>
            </w:pPr>
            <w:r>
              <w:rPr>
                <w:sz w:val="14"/>
              </w:rPr>
              <w:t>单位有前款第一项、第七项行为之一，处五万元以上五十万元以下的罚款；个人有前款第一项、第五项、第七项行为之一，处一百元以上五百元以下的罚款。</w:t>
            </w:r>
          </w:p>
        </w:tc>
        <w:tc>
          <w:tcPr>
            <w:tcW w:w="960" w:type="dxa"/>
          </w:tcPr>
          <w:p>
            <w:pPr>
              <w:pStyle w:val="7"/>
              <w:rPr>
                <w:rFonts w:ascii="Times New Roman"/>
                <w:sz w:val="14"/>
              </w:rPr>
            </w:pPr>
          </w:p>
          <w:p>
            <w:pPr>
              <w:pStyle w:val="7"/>
              <w:spacing w:before="3"/>
              <w:rPr>
                <w:rFonts w:ascii="Times New Roman"/>
                <w:sz w:val="13"/>
              </w:rPr>
            </w:pPr>
          </w:p>
          <w:p>
            <w:pPr>
              <w:pStyle w:val="7"/>
              <w:ind w:left="44" w:right="16"/>
              <w:jc w:val="center"/>
              <w:rPr>
                <w:sz w:val="14"/>
              </w:rPr>
            </w:pPr>
            <w:r>
              <w:rPr>
                <w:sz w:val="14"/>
              </w:rPr>
              <w:t>省住建厅</w:t>
            </w:r>
          </w:p>
        </w:tc>
        <w:tc>
          <w:tcPr>
            <w:tcW w:w="1140" w:type="dxa"/>
          </w:tcPr>
          <w:p>
            <w:pPr>
              <w:pStyle w:val="7"/>
              <w:spacing w:before="7"/>
              <w:rPr>
                <w:rFonts w:ascii="Times New Roman"/>
                <w:sz w:val="11"/>
              </w:rPr>
            </w:pPr>
          </w:p>
          <w:p>
            <w:pPr>
              <w:pStyle w:val="7"/>
              <w:ind w:left="30" w:right="84"/>
              <w:jc w:val="both"/>
              <w:rPr>
                <w:sz w:val="14"/>
              </w:rPr>
            </w:pPr>
            <w:r>
              <w:rPr>
                <w:sz w:val="14"/>
              </w:rPr>
              <w:t>县级以上地方人民政府环境卫生主管部门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8" w:hRule="atLeast"/>
        </w:trPr>
        <w:tc>
          <w:tcPr>
            <w:tcW w:w="456" w:type="dxa"/>
          </w:tcPr>
          <w:p>
            <w:pPr>
              <w:pStyle w:val="7"/>
              <w:rPr>
                <w:rFonts w:ascii="Times New Roman"/>
                <w:sz w:val="14"/>
              </w:rPr>
            </w:pPr>
          </w:p>
          <w:p>
            <w:pPr>
              <w:pStyle w:val="7"/>
              <w:rPr>
                <w:rFonts w:ascii="Times New Roman"/>
                <w:sz w:val="14"/>
              </w:rPr>
            </w:pPr>
          </w:p>
          <w:p>
            <w:pPr>
              <w:pStyle w:val="7"/>
              <w:spacing w:before="1"/>
              <w:rPr>
                <w:rFonts w:ascii="Times New Roman"/>
                <w:sz w:val="18"/>
              </w:rPr>
            </w:pPr>
          </w:p>
          <w:p>
            <w:pPr>
              <w:pStyle w:val="7"/>
              <w:ind w:left="29"/>
              <w:jc w:val="center"/>
              <w:rPr>
                <w:sz w:val="14"/>
              </w:rPr>
            </w:pPr>
            <w:r>
              <w:rPr>
                <w:sz w:val="14"/>
              </w:rPr>
              <w:t>13</w:t>
            </w:r>
          </w:p>
        </w:tc>
        <w:tc>
          <w:tcPr>
            <w:tcW w:w="2124" w:type="dxa"/>
          </w:tcPr>
          <w:p>
            <w:pPr>
              <w:pStyle w:val="7"/>
              <w:rPr>
                <w:rFonts w:ascii="Times New Roman"/>
                <w:sz w:val="14"/>
              </w:rPr>
            </w:pPr>
          </w:p>
          <w:p>
            <w:pPr>
              <w:pStyle w:val="7"/>
              <w:rPr>
                <w:rFonts w:ascii="Times New Roman"/>
                <w:sz w:val="14"/>
              </w:rPr>
            </w:pPr>
          </w:p>
          <w:p>
            <w:pPr>
              <w:pStyle w:val="7"/>
              <w:spacing w:before="117"/>
              <w:ind w:left="30" w:right="60"/>
              <w:rPr>
                <w:sz w:val="14"/>
              </w:rPr>
            </w:pPr>
            <w:r>
              <w:rPr>
                <w:sz w:val="14"/>
              </w:rPr>
              <w:t>对搭建、堆放、吊挂影响城镇容貌的物品的行为的处罚</w:t>
            </w:r>
          </w:p>
        </w:tc>
        <w:tc>
          <w:tcPr>
            <w:tcW w:w="840" w:type="dxa"/>
          </w:tcPr>
          <w:p>
            <w:pPr>
              <w:pStyle w:val="7"/>
              <w:rPr>
                <w:rFonts w:ascii="Times New Roman"/>
                <w:sz w:val="14"/>
              </w:rPr>
            </w:pPr>
          </w:p>
          <w:p>
            <w:pPr>
              <w:pStyle w:val="7"/>
              <w:rPr>
                <w:rFonts w:ascii="Times New Roman"/>
                <w:sz w:val="14"/>
              </w:rPr>
            </w:pPr>
          </w:p>
          <w:p>
            <w:pPr>
              <w:pStyle w:val="7"/>
              <w:spacing w:before="1"/>
              <w:rPr>
                <w:rFonts w:ascii="Times New Roman"/>
                <w:sz w:val="18"/>
              </w:rPr>
            </w:pPr>
          </w:p>
          <w:p>
            <w:pPr>
              <w:pStyle w:val="7"/>
              <w:ind w:left="24" w:right="1"/>
              <w:jc w:val="center"/>
              <w:rPr>
                <w:sz w:val="14"/>
              </w:rPr>
            </w:pPr>
            <w:r>
              <w:rPr>
                <w:sz w:val="14"/>
              </w:rPr>
              <w:t>行政处罚</w:t>
            </w:r>
          </w:p>
        </w:tc>
        <w:tc>
          <w:tcPr>
            <w:tcW w:w="10164" w:type="dxa"/>
          </w:tcPr>
          <w:p>
            <w:pPr>
              <w:pStyle w:val="7"/>
              <w:spacing w:before="79"/>
              <w:ind w:left="30" w:right="36"/>
              <w:rPr>
                <w:sz w:val="14"/>
              </w:rPr>
            </w:pPr>
            <w:r>
              <w:rPr>
                <w:b/>
                <w:sz w:val="14"/>
              </w:rPr>
              <w:t xml:space="preserve">《城市市容和环境卫生管理条例》（国务院令第101号）第三十四条第一款第三项    </w:t>
            </w:r>
            <w:r>
              <w:rPr>
                <w:sz w:val="14"/>
              </w:rPr>
              <w:t>有下列行为之一者，城市人民政府市容环境卫生行政主管部门或者其委托的单位除责令其纠正违法行为、采取补救措施外，可以并处警告、罚款：（三）在城市人民政府规定的街道的临街建筑物的阳台和窗外，堆放、吊挂有碍市容的物   品的；</w:t>
            </w:r>
          </w:p>
          <w:p>
            <w:pPr>
              <w:pStyle w:val="7"/>
              <w:spacing w:before="1"/>
              <w:ind w:left="30" w:right="8"/>
              <w:jc w:val="both"/>
              <w:rPr>
                <w:sz w:val="14"/>
              </w:rPr>
            </w:pPr>
            <w:r>
              <w:rPr>
                <w:b/>
                <w:sz w:val="14"/>
              </w:rPr>
              <w:t xml:space="preserve">《山西省城乡环境综合治理条例》（省第十二届人大常委会第三十九次会议于2017年7月4日通过）第五十九条第一款第一项   </w:t>
            </w:r>
            <w:r>
              <w:rPr>
                <w:sz w:val="14"/>
              </w:rPr>
              <w:t>违反本条例规定，有下列情形之一的，由有关主管部门予以警告，并责令改正或者限期清理；拒不改正或者清理的，对单位处一千元以上五千元以下罚款，对个人处五十元以上二百元以下罚款，   可以代为清理，清理费用由违法行为人承担：（一）搭建、堆放、吊挂影响城镇容貌的物品的；</w:t>
            </w:r>
          </w:p>
        </w:tc>
        <w:tc>
          <w:tcPr>
            <w:tcW w:w="960" w:type="dxa"/>
          </w:tcPr>
          <w:p>
            <w:pPr>
              <w:pStyle w:val="7"/>
              <w:rPr>
                <w:rFonts w:ascii="Times New Roman"/>
                <w:sz w:val="14"/>
              </w:rPr>
            </w:pPr>
          </w:p>
          <w:p>
            <w:pPr>
              <w:pStyle w:val="7"/>
              <w:rPr>
                <w:rFonts w:ascii="Times New Roman"/>
                <w:sz w:val="14"/>
              </w:rPr>
            </w:pPr>
          </w:p>
          <w:p>
            <w:pPr>
              <w:pStyle w:val="7"/>
              <w:spacing w:before="1"/>
              <w:rPr>
                <w:rFonts w:ascii="Times New Roman"/>
                <w:sz w:val="18"/>
              </w:rPr>
            </w:pPr>
          </w:p>
          <w:p>
            <w:pPr>
              <w:pStyle w:val="7"/>
              <w:ind w:left="44" w:right="16"/>
              <w:jc w:val="center"/>
              <w:rPr>
                <w:sz w:val="14"/>
              </w:rPr>
            </w:pPr>
            <w:r>
              <w:rPr>
                <w:sz w:val="14"/>
              </w:rPr>
              <w:t>省住建厅</w:t>
            </w:r>
          </w:p>
        </w:tc>
        <w:tc>
          <w:tcPr>
            <w:tcW w:w="1140" w:type="dxa"/>
          </w:tcPr>
          <w:p>
            <w:pPr>
              <w:pStyle w:val="7"/>
              <w:rPr>
                <w:rFonts w:ascii="Times New Roman"/>
                <w:sz w:val="14"/>
              </w:rPr>
            </w:pPr>
          </w:p>
          <w:p>
            <w:pPr>
              <w:pStyle w:val="7"/>
              <w:spacing w:before="98"/>
              <w:ind w:left="30" w:right="84"/>
              <w:jc w:val="both"/>
              <w:rPr>
                <w:sz w:val="14"/>
              </w:rPr>
            </w:pPr>
            <w:r>
              <w:rPr>
                <w:sz w:val="14"/>
              </w:rPr>
              <w:t>城市人民政府环境卫生行政主管部门或者其委托的单位</w:t>
            </w:r>
          </w:p>
        </w:tc>
      </w:tr>
    </w:tbl>
    <w:p>
      <w:pPr>
        <w:spacing w:after="0"/>
        <w:jc w:val="both"/>
        <w:rPr>
          <w:sz w:val="14"/>
        </w:rPr>
        <w:sectPr>
          <w:pgSz w:w="16840" w:h="11910" w:orient="landscape"/>
          <w:pgMar w:top="1100" w:right="460" w:bottom="620" w:left="460" w:header="0" w:footer="437" w:gutter="0"/>
          <w:cols w:space="720" w:num="1"/>
        </w:sectPr>
      </w:pPr>
    </w:p>
    <w:p>
      <w:pPr>
        <w:pStyle w:val="2"/>
        <w:rPr>
          <w:rFonts w:ascii="Times New Roman"/>
          <w:sz w:val="20"/>
        </w:rPr>
      </w:pPr>
    </w:p>
    <w:p>
      <w:pPr>
        <w:pStyle w:val="2"/>
        <w:spacing w:before="5"/>
        <w:rPr>
          <w:rFonts w:ascii="Times New Roman"/>
          <w:sz w:val="16"/>
        </w:rPr>
      </w:pPr>
    </w:p>
    <w:tbl>
      <w:tblPr>
        <w:tblStyle w:val="3"/>
        <w:tblW w:w="0" w:type="auto"/>
        <w:tblInd w:w="1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6"/>
        <w:gridCol w:w="2124"/>
        <w:gridCol w:w="840"/>
        <w:gridCol w:w="10164"/>
        <w:gridCol w:w="960"/>
        <w:gridCol w:w="11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456" w:type="dxa"/>
          </w:tcPr>
          <w:p>
            <w:pPr>
              <w:pStyle w:val="7"/>
              <w:spacing w:before="113"/>
              <w:ind w:left="28"/>
              <w:jc w:val="center"/>
              <w:rPr>
                <w:rFonts w:hint="eastAsia" w:ascii="黑体" w:eastAsia="黑体"/>
                <w:sz w:val="19"/>
              </w:rPr>
            </w:pPr>
            <w:r>
              <w:rPr>
                <w:rFonts w:hint="eastAsia" w:ascii="黑体" w:eastAsia="黑体"/>
                <w:sz w:val="19"/>
              </w:rPr>
              <w:t>序号</w:t>
            </w:r>
          </w:p>
        </w:tc>
        <w:tc>
          <w:tcPr>
            <w:tcW w:w="2124" w:type="dxa"/>
          </w:tcPr>
          <w:p>
            <w:pPr>
              <w:pStyle w:val="7"/>
              <w:spacing w:before="113"/>
              <w:ind w:left="683"/>
              <w:rPr>
                <w:rFonts w:hint="eastAsia" w:ascii="黑体" w:eastAsia="黑体"/>
                <w:sz w:val="19"/>
              </w:rPr>
            </w:pPr>
            <w:r>
              <w:rPr>
                <w:rFonts w:hint="eastAsia" w:ascii="黑体" w:eastAsia="黑体"/>
                <w:sz w:val="19"/>
              </w:rPr>
              <w:t>职权名称</w:t>
            </w:r>
          </w:p>
        </w:tc>
        <w:tc>
          <w:tcPr>
            <w:tcW w:w="840" w:type="dxa"/>
          </w:tcPr>
          <w:p>
            <w:pPr>
              <w:pStyle w:val="7"/>
              <w:spacing w:before="113"/>
              <w:ind w:left="24" w:right="1"/>
              <w:jc w:val="center"/>
              <w:rPr>
                <w:rFonts w:hint="eastAsia" w:ascii="黑体" w:eastAsia="黑体"/>
                <w:sz w:val="19"/>
              </w:rPr>
            </w:pPr>
            <w:r>
              <w:rPr>
                <w:rFonts w:hint="eastAsia" w:ascii="黑体" w:eastAsia="黑体"/>
                <w:sz w:val="19"/>
              </w:rPr>
              <w:t>职权类型</w:t>
            </w:r>
          </w:p>
        </w:tc>
        <w:tc>
          <w:tcPr>
            <w:tcW w:w="10164" w:type="dxa"/>
          </w:tcPr>
          <w:p>
            <w:pPr>
              <w:pStyle w:val="7"/>
              <w:spacing w:before="113"/>
              <w:ind w:left="4687" w:right="4662"/>
              <w:jc w:val="center"/>
              <w:rPr>
                <w:rFonts w:hint="eastAsia" w:ascii="黑体" w:eastAsia="黑体"/>
                <w:sz w:val="19"/>
              </w:rPr>
            </w:pPr>
            <w:r>
              <w:rPr>
                <w:rFonts w:hint="eastAsia" w:ascii="黑体" w:eastAsia="黑体"/>
                <w:sz w:val="19"/>
              </w:rPr>
              <w:t>职权依据</w:t>
            </w:r>
          </w:p>
        </w:tc>
        <w:tc>
          <w:tcPr>
            <w:tcW w:w="960" w:type="dxa"/>
          </w:tcPr>
          <w:p>
            <w:pPr>
              <w:pStyle w:val="7"/>
              <w:spacing w:before="113"/>
              <w:ind w:left="41" w:right="18"/>
              <w:jc w:val="center"/>
              <w:rPr>
                <w:rFonts w:hint="eastAsia" w:ascii="黑体" w:eastAsia="黑体"/>
                <w:sz w:val="19"/>
              </w:rPr>
            </w:pPr>
            <w:r>
              <w:rPr>
                <w:rFonts w:hint="eastAsia" w:ascii="黑体" w:eastAsia="黑体"/>
                <w:sz w:val="19"/>
              </w:rPr>
              <w:t>主管部门</w:t>
            </w:r>
          </w:p>
        </w:tc>
        <w:tc>
          <w:tcPr>
            <w:tcW w:w="1140" w:type="dxa"/>
          </w:tcPr>
          <w:p>
            <w:pPr>
              <w:pStyle w:val="7"/>
              <w:spacing w:before="113"/>
              <w:ind w:left="95"/>
              <w:rPr>
                <w:rFonts w:hint="eastAsia" w:ascii="黑体" w:eastAsia="黑体"/>
                <w:sz w:val="19"/>
              </w:rPr>
            </w:pPr>
            <w:r>
              <w:rPr>
                <w:rFonts w:hint="eastAsia" w:ascii="黑体" w:eastAsia="黑体"/>
                <w:sz w:val="19"/>
              </w:rPr>
              <w:t>原实施主体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1" w:hRule="atLeast"/>
        </w:trPr>
        <w:tc>
          <w:tcPr>
            <w:tcW w:w="4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2"/>
              <w:ind w:left="29"/>
              <w:jc w:val="center"/>
              <w:rPr>
                <w:sz w:val="14"/>
              </w:rPr>
            </w:pPr>
            <w:r>
              <w:rPr>
                <w:sz w:val="14"/>
              </w:rPr>
              <w:t>14</w:t>
            </w:r>
          </w:p>
        </w:tc>
        <w:tc>
          <w:tcPr>
            <w:tcW w:w="2124" w:type="dxa"/>
          </w:tcPr>
          <w:p>
            <w:pPr>
              <w:pStyle w:val="7"/>
              <w:spacing w:before="6"/>
              <w:rPr>
                <w:rFonts w:ascii="Times New Roman"/>
                <w:sz w:val="19"/>
              </w:rPr>
            </w:pPr>
          </w:p>
          <w:p>
            <w:pPr>
              <w:pStyle w:val="7"/>
              <w:spacing w:before="1"/>
              <w:ind w:left="30"/>
              <w:rPr>
                <w:sz w:val="14"/>
              </w:rPr>
            </w:pPr>
            <w:r>
              <w:rPr>
                <w:sz w:val="14"/>
              </w:rPr>
              <w:t>对在城镇道路、建筑物、构筑物</w:t>
            </w:r>
          </w:p>
          <w:p>
            <w:pPr>
              <w:pStyle w:val="7"/>
              <w:ind w:left="30"/>
              <w:rPr>
                <w:sz w:val="14"/>
              </w:rPr>
            </w:pPr>
            <w:r>
              <w:rPr>
                <w:sz w:val="14"/>
              </w:rPr>
              <w:t>、树木、市政及其他设施上涂写</w:t>
            </w:r>
          </w:p>
          <w:p>
            <w:pPr>
              <w:pStyle w:val="7"/>
              <w:spacing w:before="1"/>
              <w:ind w:left="30" w:right="60"/>
              <w:jc w:val="both"/>
              <w:rPr>
                <w:sz w:val="14"/>
              </w:rPr>
            </w:pPr>
            <w:r>
              <w:rPr>
                <w:sz w:val="14"/>
              </w:rPr>
              <w:t>、刻画，擅自张贴广告、墙报、标语和海报等宣传品的行为的处罚</w:t>
            </w:r>
          </w:p>
        </w:tc>
        <w:tc>
          <w:tcPr>
            <w:tcW w:w="84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2"/>
              <w:ind w:left="24" w:right="1"/>
              <w:jc w:val="center"/>
              <w:rPr>
                <w:sz w:val="14"/>
              </w:rPr>
            </w:pPr>
            <w:r>
              <w:rPr>
                <w:sz w:val="14"/>
              </w:rPr>
              <w:t>行政处罚</w:t>
            </w:r>
          </w:p>
        </w:tc>
        <w:tc>
          <w:tcPr>
            <w:tcW w:w="10164" w:type="dxa"/>
          </w:tcPr>
          <w:p>
            <w:pPr>
              <w:pStyle w:val="7"/>
              <w:spacing w:before="10"/>
              <w:rPr>
                <w:rFonts w:ascii="Times New Roman"/>
                <w:sz w:val="11"/>
              </w:rPr>
            </w:pPr>
          </w:p>
          <w:p>
            <w:pPr>
              <w:pStyle w:val="7"/>
              <w:ind w:left="30" w:right="36"/>
              <w:rPr>
                <w:sz w:val="14"/>
              </w:rPr>
            </w:pPr>
            <w:r>
              <w:rPr>
                <w:b/>
                <w:sz w:val="14"/>
              </w:rPr>
              <w:t xml:space="preserve">《城市市容和环境卫生管理条例》（国务院令第101号）第三十四条第一款第二项    </w:t>
            </w:r>
            <w:r>
              <w:rPr>
                <w:sz w:val="14"/>
              </w:rPr>
              <w:t>有下列行为之一者，城市人民政府市容环境卫生行政主管部门或者其委托的单位除责令其纠正违法行为、采取补救措施外，可以并处警告、罚款：（二）在城市建筑物、设施以及树木上涂写、刻画或者未经批准张挂、张贴宣传品等的；</w:t>
            </w:r>
          </w:p>
          <w:p>
            <w:pPr>
              <w:pStyle w:val="7"/>
              <w:spacing w:before="1"/>
              <w:ind w:left="30" w:right="36"/>
              <w:rPr>
                <w:sz w:val="14"/>
              </w:rPr>
            </w:pPr>
            <w:r>
              <w:rPr>
                <w:b/>
                <w:sz w:val="14"/>
              </w:rPr>
              <w:t xml:space="preserve">《山西省城乡环境综合治理条例》（省第十二届人大常委会第三十九次会议于2017年7月4日通过）第五十九条第一款第二项     </w:t>
            </w:r>
            <w:r>
              <w:rPr>
                <w:sz w:val="14"/>
              </w:rPr>
              <w:t>违反本条例规定，有下列情形之一的，由有关主管部门予以警告，并责令改正或者限期清理；拒不改正或者清理的，对单位处一千元以上五千元以下罚款，对个人处五十元以上二百元以下罚     款，可以代为清理，清理费用由违法行为人承担：（二）在城镇道路、建筑物、构筑物、树木、市政及其他设施上涂写、刻画，擅自张贴广告、墙报、标语和海   报等宣传品的；</w:t>
            </w:r>
          </w:p>
        </w:tc>
        <w:tc>
          <w:tcPr>
            <w:tcW w:w="96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2"/>
              <w:ind w:left="44" w:right="16"/>
              <w:jc w:val="center"/>
              <w:rPr>
                <w:sz w:val="14"/>
              </w:rPr>
            </w:pPr>
            <w:r>
              <w:rPr>
                <w:sz w:val="14"/>
              </w:rPr>
              <w:t>省住建厅</w:t>
            </w:r>
          </w:p>
        </w:tc>
        <w:tc>
          <w:tcPr>
            <w:tcW w:w="1140" w:type="dxa"/>
          </w:tcPr>
          <w:p>
            <w:pPr>
              <w:pStyle w:val="7"/>
              <w:rPr>
                <w:rFonts w:ascii="Times New Roman"/>
                <w:sz w:val="14"/>
              </w:rPr>
            </w:pPr>
          </w:p>
          <w:p>
            <w:pPr>
              <w:pStyle w:val="7"/>
              <w:spacing w:before="6"/>
              <w:rPr>
                <w:rFonts w:ascii="Times New Roman"/>
                <w:sz w:val="13"/>
              </w:rPr>
            </w:pPr>
          </w:p>
          <w:p>
            <w:pPr>
              <w:pStyle w:val="7"/>
              <w:ind w:left="30" w:right="84"/>
              <w:jc w:val="both"/>
              <w:rPr>
                <w:sz w:val="14"/>
              </w:rPr>
            </w:pPr>
            <w:r>
              <w:rPr>
                <w:sz w:val="14"/>
              </w:rPr>
              <w:t>城市人民政府环境卫生行政主管部门或者其委托的单位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2" w:hRule="atLeast"/>
        </w:trPr>
        <w:tc>
          <w:tcPr>
            <w:tcW w:w="456" w:type="dxa"/>
          </w:tcPr>
          <w:p>
            <w:pPr>
              <w:pStyle w:val="7"/>
              <w:rPr>
                <w:rFonts w:ascii="Times New Roman"/>
                <w:sz w:val="14"/>
              </w:rPr>
            </w:pPr>
          </w:p>
          <w:p>
            <w:pPr>
              <w:pStyle w:val="7"/>
              <w:rPr>
                <w:rFonts w:ascii="Times New Roman"/>
                <w:sz w:val="14"/>
              </w:rPr>
            </w:pPr>
          </w:p>
          <w:p>
            <w:pPr>
              <w:pStyle w:val="7"/>
              <w:spacing w:before="4"/>
              <w:rPr>
                <w:rFonts w:ascii="Times New Roman"/>
                <w:sz w:val="16"/>
              </w:rPr>
            </w:pPr>
          </w:p>
          <w:p>
            <w:pPr>
              <w:pStyle w:val="7"/>
              <w:spacing w:before="1"/>
              <w:ind w:left="29"/>
              <w:jc w:val="center"/>
              <w:rPr>
                <w:sz w:val="14"/>
              </w:rPr>
            </w:pPr>
            <w:r>
              <w:rPr>
                <w:sz w:val="14"/>
              </w:rPr>
              <w:t>15</w:t>
            </w:r>
          </w:p>
        </w:tc>
        <w:tc>
          <w:tcPr>
            <w:tcW w:w="2124" w:type="dxa"/>
          </w:tcPr>
          <w:p>
            <w:pPr>
              <w:pStyle w:val="7"/>
              <w:rPr>
                <w:rFonts w:ascii="Times New Roman"/>
                <w:sz w:val="14"/>
              </w:rPr>
            </w:pPr>
          </w:p>
          <w:p>
            <w:pPr>
              <w:pStyle w:val="7"/>
              <w:spacing w:before="8"/>
              <w:rPr>
                <w:rFonts w:ascii="Times New Roman"/>
                <w:sz w:val="14"/>
              </w:rPr>
            </w:pPr>
          </w:p>
          <w:p>
            <w:pPr>
              <w:pStyle w:val="7"/>
              <w:spacing w:before="1"/>
              <w:ind w:left="30" w:right="60"/>
              <w:jc w:val="both"/>
              <w:rPr>
                <w:sz w:val="14"/>
              </w:rPr>
            </w:pPr>
            <w:r>
              <w:rPr>
                <w:sz w:val="14"/>
              </w:rPr>
              <w:t>对在城市住宅小区内饲养家禽、家畜的，或者饲养宠物影响环境卫生的行为的处罚</w:t>
            </w:r>
          </w:p>
        </w:tc>
        <w:tc>
          <w:tcPr>
            <w:tcW w:w="840" w:type="dxa"/>
          </w:tcPr>
          <w:p>
            <w:pPr>
              <w:pStyle w:val="7"/>
              <w:rPr>
                <w:rFonts w:ascii="Times New Roman"/>
                <w:sz w:val="14"/>
              </w:rPr>
            </w:pPr>
          </w:p>
          <w:p>
            <w:pPr>
              <w:pStyle w:val="7"/>
              <w:rPr>
                <w:rFonts w:ascii="Times New Roman"/>
                <w:sz w:val="14"/>
              </w:rPr>
            </w:pPr>
          </w:p>
          <w:p>
            <w:pPr>
              <w:pStyle w:val="7"/>
              <w:spacing w:before="4"/>
              <w:rPr>
                <w:rFonts w:ascii="Times New Roman"/>
                <w:sz w:val="16"/>
              </w:rPr>
            </w:pPr>
          </w:p>
          <w:p>
            <w:pPr>
              <w:pStyle w:val="7"/>
              <w:spacing w:before="1"/>
              <w:ind w:left="24" w:right="1"/>
              <w:jc w:val="center"/>
              <w:rPr>
                <w:sz w:val="14"/>
              </w:rPr>
            </w:pPr>
            <w:r>
              <w:rPr>
                <w:sz w:val="14"/>
              </w:rPr>
              <w:t>行政处罚</w:t>
            </w:r>
          </w:p>
        </w:tc>
        <w:tc>
          <w:tcPr>
            <w:tcW w:w="10164" w:type="dxa"/>
          </w:tcPr>
          <w:p>
            <w:pPr>
              <w:pStyle w:val="7"/>
              <w:rPr>
                <w:rFonts w:ascii="Times New Roman"/>
                <w:sz w:val="14"/>
              </w:rPr>
            </w:pPr>
          </w:p>
          <w:p>
            <w:pPr>
              <w:pStyle w:val="7"/>
              <w:spacing w:before="81"/>
              <w:ind w:left="30" w:right="53"/>
              <w:rPr>
                <w:sz w:val="14"/>
              </w:rPr>
            </w:pPr>
            <w:r>
              <w:rPr>
                <w:b/>
                <w:sz w:val="14"/>
              </w:rPr>
              <w:t xml:space="preserve">《城市市容和环境卫生管理条例》（国务院令第101号）第三十五条    </w:t>
            </w:r>
            <w:r>
              <w:rPr>
                <w:sz w:val="14"/>
              </w:rPr>
              <w:t>饲养家畜家禽影响市容和环境卫生的，由城市人民政府市容环境卫生行政主管部门或者其委托的单位，责令其限期处理或者予以没收，并可处以罚款。</w:t>
            </w:r>
          </w:p>
          <w:p>
            <w:pPr>
              <w:pStyle w:val="7"/>
              <w:spacing w:before="1"/>
              <w:ind w:left="30"/>
              <w:rPr>
                <w:sz w:val="14"/>
              </w:rPr>
            </w:pPr>
            <w:r>
              <w:rPr>
                <w:b/>
                <w:sz w:val="14"/>
              </w:rPr>
              <w:t xml:space="preserve">《山西省城乡环境综合治理条例》（省第十二届人大常委会第三十九次会议于2017年7月4日通过）第六十二条 </w:t>
            </w:r>
            <w:r>
              <w:rPr>
                <w:sz w:val="14"/>
              </w:rPr>
              <w:t>违反本条例规定，在城市住宅小区内饲养家禽</w:t>
            </w:r>
          </w:p>
          <w:p>
            <w:pPr>
              <w:pStyle w:val="7"/>
              <w:spacing w:before="1"/>
              <w:ind w:left="30"/>
              <w:rPr>
                <w:sz w:val="14"/>
              </w:rPr>
            </w:pPr>
            <w:r>
              <w:rPr>
                <w:sz w:val="14"/>
              </w:rPr>
              <w:t>、家畜的，或者饲养宠物影响环境卫生的，由有关主管部门责令限期处理；拒不处理的，予以没收，并处五十元以上二百元以下罚款。</w:t>
            </w:r>
          </w:p>
        </w:tc>
        <w:tc>
          <w:tcPr>
            <w:tcW w:w="960" w:type="dxa"/>
          </w:tcPr>
          <w:p>
            <w:pPr>
              <w:pStyle w:val="7"/>
              <w:rPr>
                <w:rFonts w:ascii="Times New Roman"/>
                <w:sz w:val="14"/>
              </w:rPr>
            </w:pPr>
          </w:p>
          <w:p>
            <w:pPr>
              <w:pStyle w:val="7"/>
              <w:rPr>
                <w:rFonts w:ascii="Times New Roman"/>
                <w:sz w:val="14"/>
              </w:rPr>
            </w:pPr>
          </w:p>
          <w:p>
            <w:pPr>
              <w:pStyle w:val="7"/>
              <w:spacing w:before="4"/>
              <w:rPr>
                <w:rFonts w:ascii="Times New Roman"/>
                <w:sz w:val="16"/>
              </w:rPr>
            </w:pPr>
          </w:p>
          <w:p>
            <w:pPr>
              <w:pStyle w:val="7"/>
              <w:spacing w:before="1"/>
              <w:ind w:left="44" w:right="16"/>
              <w:jc w:val="center"/>
              <w:rPr>
                <w:sz w:val="14"/>
              </w:rPr>
            </w:pPr>
            <w:r>
              <w:rPr>
                <w:sz w:val="14"/>
              </w:rPr>
              <w:t>省住建厅</w:t>
            </w:r>
          </w:p>
        </w:tc>
        <w:tc>
          <w:tcPr>
            <w:tcW w:w="1140" w:type="dxa"/>
          </w:tcPr>
          <w:p>
            <w:pPr>
              <w:pStyle w:val="7"/>
              <w:rPr>
                <w:rFonts w:ascii="Times New Roman"/>
                <w:sz w:val="14"/>
              </w:rPr>
            </w:pPr>
          </w:p>
          <w:p>
            <w:pPr>
              <w:pStyle w:val="7"/>
              <w:spacing w:before="81"/>
              <w:ind w:left="30" w:right="84"/>
              <w:jc w:val="both"/>
              <w:rPr>
                <w:sz w:val="14"/>
              </w:rPr>
            </w:pPr>
            <w:r>
              <w:rPr>
                <w:sz w:val="14"/>
              </w:rPr>
              <w:t>城市人民政府环境卫生行政主管部门或者其委托的单位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3" w:hRule="atLeast"/>
        </w:trPr>
        <w:tc>
          <w:tcPr>
            <w:tcW w:w="456" w:type="dxa"/>
          </w:tcPr>
          <w:p>
            <w:pPr>
              <w:pStyle w:val="7"/>
              <w:rPr>
                <w:rFonts w:ascii="Times New Roman"/>
                <w:sz w:val="14"/>
              </w:rPr>
            </w:pPr>
          </w:p>
          <w:p>
            <w:pPr>
              <w:pStyle w:val="7"/>
              <w:spacing w:before="95"/>
              <w:ind w:left="29"/>
              <w:jc w:val="center"/>
              <w:rPr>
                <w:sz w:val="14"/>
              </w:rPr>
            </w:pPr>
            <w:r>
              <w:rPr>
                <w:sz w:val="14"/>
              </w:rPr>
              <w:t>16</w:t>
            </w:r>
          </w:p>
        </w:tc>
        <w:tc>
          <w:tcPr>
            <w:tcW w:w="2124" w:type="dxa"/>
          </w:tcPr>
          <w:p>
            <w:pPr>
              <w:pStyle w:val="7"/>
              <w:spacing w:before="76"/>
              <w:ind w:left="30" w:right="60"/>
              <w:jc w:val="both"/>
              <w:rPr>
                <w:sz w:val="14"/>
              </w:rPr>
            </w:pPr>
            <w:r>
              <w:rPr>
                <w:sz w:val="14"/>
              </w:rPr>
              <w:t>对农村村民未经批准或者采取欺骗手段骗取批准，非法占用土地建住宅的行为的处罚</w:t>
            </w:r>
          </w:p>
        </w:tc>
        <w:tc>
          <w:tcPr>
            <w:tcW w:w="840" w:type="dxa"/>
          </w:tcPr>
          <w:p>
            <w:pPr>
              <w:pStyle w:val="7"/>
              <w:rPr>
                <w:rFonts w:ascii="Times New Roman"/>
                <w:sz w:val="14"/>
              </w:rPr>
            </w:pPr>
          </w:p>
          <w:p>
            <w:pPr>
              <w:pStyle w:val="7"/>
              <w:spacing w:before="95"/>
              <w:ind w:left="24" w:right="1"/>
              <w:jc w:val="center"/>
              <w:rPr>
                <w:sz w:val="14"/>
              </w:rPr>
            </w:pPr>
            <w:r>
              <w:rPr>
                <w:sz w:val="14"/>
              </w:rPr>
              <w:t>行政处罚</w:t>
            </w:r>
          </w:p>
        </w:tc>
        <w:tc>
          <w:tcPr>
            <w:tcW w:w="10164" w:type="dxa"/>
          </w:tcPr>
          <w:p>
            <w:pPr>
              <w:pStyle w:val="7"/>
              <w:spacing w:before="76"/>
              <w:ind w:left="30" w:right="77"/>
              <w:rPr>
                <w:sz w:val="14"/>
              </w:rPr>
            </w:pPr>
            <w:r>
              <w:rPr>
                <w:b/>
                <w:sz w:val="14"/>
              </w:rPr>
              <w:t xml:space="preserve">《中华人民共和国土地管理法》第七十八条   </w:t>
            </w:r>
            <w:r>
              <w:rPr>
                <w:sz w:val="14"/>
              </w:rPr>
              <w:t>农村村民未经批准或者采取欺骗手段骗取批准，非法占用土地建住宅的，由县级以上人民政府农业农村主管部门责令退还非法占用的土地，限期拆除在非法占用的土地上新建的房屋。</w:t>
            </w:r>
          </w:p>
          <w:p>
            <w:pPr>
              <w:pStyle w:val="7"/>
              <w:spacing w:before="1"/>
              <w:ind w:left="30"/>
              <w:rPr>
                <w:sz w:val="14"/>
              </w:rPr>
            </w:pPr>
            <w:r>
              <w:rPr>
                <w:sz w:val="14"/>
              </w:rPr>
              <w:t>超过省、自治区、直辖市规定的标准，多占的土地以非法占用土地论处。</w:t>
            </w:r>
          </w:p>
        </w:tc>
        <w:tc>
          <w:tcPr>
            <w:tcW w:w="960" w:type="dxa"/>
          </w:tcPr>
          <w:p>
            <w:pPr>
              <w:pStyle w:val="7"/>
              <w:rPr>
                <w:rFonts w:ascii="Times New Roman"/>
                <w:sz w:val="14"/>
              </w:rPr>
            </w:pPr>
          </w:p>
          <w:p>
            <w:pPr>
              <w:pStyle w:val="7"/>
              <w:spacing w:before="95"/>
              <w:ind w:left="41" w:right="18"/>
              <w:jc w:val="center"/>
              <w:rPr>
                <w:sz w:val="14"/>
              </w:rPr>
            </w:pPr>
            <w:r>
              <w:rPr>
                <w:sz w:val="14"/>
              </w:rPr>
              <w:t>省农业农村厅</w:t>
            </w:r>
          </w:p>
        </w:tc>
        <w:tc>
          <w:tcPr>
            <w:tcW w:w="1140" w:type="dxa"/>
          </w:tcPr>
          <w:p>
            <w:pPr>
              <w:pStyle w:val="7"/>
              <w:spacing w:before="6"/>
              <w:rPr>
                <w:rFonts w:ascii="Times New Roman"/>
                <w:sz w:val="14"/>
              </w:rPr>
            </w:pPr>
          </w:p>
          <w:p>
            <w:pPr>
              <w:pStyle w:val="7"/>
              <w:ind w:left="30" w:right="84"/>
              <w:rPr>
                <w:sz w:val="14"/>
              </w:rPr>
            </w:pPr>
            <w:r>
              <w:rPr>
                <w:sz w:val="14"/>
              </w:rPr>
              <w:t>县级以上农业农村主管部门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4" w:hRule="atLeast"/>
        </w:trPr>
        <w:tc>
          <w:tcPr>
            <w:tcW w:w="4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9"/>
              </w:rPr>
            </w:pPr>
          </w:p>
          <w:p>
            <w:pPr>
              <w:pStyle w:val="7"/>
              <w:ind w:left="29"/>
              <w:jc w:val="center"/>
              <w:rPr>
                <w:sz w:val="14"/>
              </w:rPr>
            </w:pPr>
            <w:r>
              <w:rPr>
                <w:sz w:val="14"/>
              </w:rPr>
              <w:t>17</w:t>
            </w:r>
          </w:p>
        </w:tc>
        <w:tc>
          <w:tcPr>
            <w:tcW w:w="2124" w:type="dxa"/>
          </w:tcPr>
          <w:p>
            <w:pPr>
              <w:pStyle w:val="7"/>
              <w:rPr>
                <w:rFonts w:ascii="Times New Roman"/>
                <w:sz w:val="14"/>
              </w:rPr>
            </w:pPr>
          </w:p>
          <w:p>
            <w:pPr>
              <w:pStyle w:val="7"/>
              <w:rPr>
                <w:rFonts w:ascii="Times New Roman"/>
                <w:sz w:val="14"/>
              </w:rPr>
            </w:pPr>
          </w:p>
          <w:p>
            <w:pPr>
              <w:pStyle w:val="7"/>
              <w:spacing w:before="109"/>
              <w:ind w:left="30" w:right="3"/>
              <w:jc w:val="both"/>
              <w:rPr>
                <w:sz w:val="14"/>
              </w:rPr>
            </w:pPr>
            <w:r>
              <w:rPr>
                <w:sz w:val="14"/>
              </w:rPr>
              <w:t>对农产品生产企业、农民专业合作经济组织未建立或者未按照规定保存农产品生产记录，或者伪造农产品生产记录的行为的处罚</w:t>
            </w:r>
          </w:p>
        </w:tc>
        <w:tc>
          <w:tcPr>
            <w:tcW w:w="84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9"/>
              </w:rPr>
            </w:pPr>
          </w:p>
          <w:p>
            <w:pPr>
              <w:pStyle w:val="7"/>
              <w:ind w:left="24" w:right="1"/>
              <w:jc w:val="center"/>
              <w:rPr>
                <w:sz w:val="14"/>
              </w:rPr>
            </w:pPr>
            <w:r>
              <w:rPr>
                <w:sz w:val="14"/>
              </w:rPr>
              <w:t>行政处罚</w:t>
            </w:r>
          </w:p>
        </w:tc>
        <w:tc>
          <w:tcPr>
            <w:tcW w:w="10164" w:type="dxa"/>
          </w:tcPr>
          <w:p>
            <w:pPr>
              <w:pStyle w:val="7"/>
              <w:spacing w:before="71"/>
              <w:ind w:left="30"/>
              <w:rPr>
                <w:sz w:val="14"/>
              </w:rPr>
            </w:pPr>
            <w:r>
              <w:rPr>
                <w:b/>
                <w:sz w:val="14"/>
              </w:rPr>
              <w:t xml:space="preserve">《中华人民共和国农产品质量安全法》第二十四条 </w:t>
            </w:r>
            <w:r>
              <w:rPr>
                <w:sz w:val="14"/>
              </w:rPr>
              <w:t>农产品生产企业和农民专业合作经济组织应当建立农产品生产记录，如实记载下列事项：</w:t>
            </w:r>
          </w:p>
          <w:p>
            <w:pPr>
              <w:pStyle w:val="7"/>
              <w:spacing w:before="1"/>
              <w:ind w:left="30"/>
              <w:rPr>
                <w:sz w:val="14"/>
              </w:rPr>
            </w:pPr>
            <w:r>
              <w:rPr>
                <w:sz w:val="14"/>
              </w:rPr>
              <w:t>（一）使用农业投入品的名称、来源、用法、用量和使用、停用的日期；（二）动物疫病、植物病虫草害的发生和防治情况；（三）收获、屠宰或者捕捞的日期</w:t>
            </w:r>
          </w:p>
          <w:p>
            <w:pPr>
              <w:pStyle w:val="7"/>
              <w:spacing w:before="1"/>
              <w:ind w:left="30"/>
              <w:rPr>
                <w:sz w:val="14"/>
              </w:rPr>
            </w:pPr>
            <w:r>
              <w:rPr>
                <w:sz w:val="14"/>
              </w:rPr>
              <w:t>。农产品生产记录应当保存二年。禁止伪造农产品生产记录。国家鼓励其他农产品生产者建立农产品生产记录。</w:t>
            </w:r>
          </w:p>
          <w:p>
            <w:pPr>
              <w:pStyle w:val="7"/>
              <w:ind w:left="30" w:right="2"/>
              <w:rPr>
                <w:sz w:val="14"/>
              </w:rPr>
            </w:pPr>
            <w:r>
              <w:rPr>
                <w:b/>
                <w:sz w:val="14"/>
              </w:rPr>
              <w:t xml:space="preserve">第四十七条    </w:t>
            </w:r>
            <w:r>
              <w:rPr>
                <w:sz w:val="14"/>
              </w:rPr>
              <w:t>农产品生产企业、农民专业合作经济组织未建立或者未按照规定保存农产品生产记录的，或者伪造农产品生产记录的，责令限期改正；逾期不改正的，可以处二千元以下罚款。</w:t>
            </w:r>
          </w:p>
          <w:p>
            <w:pPr>
              <w:pStyle w:val="7"/>
              <w:spacing w:before="2"/>
              <w:ind w:left="30" w:right="4"/>
              <w:rPr>
                <w:sz w:val="14"/>
              </w:rPr>
            </w:pPr>
            <w:r>
              <w:rPr>
                <w:b/>
                <w:sz w:val="14"/>
              </w:rPr>
              <w:t xml:space="preserve">第五十二条    </w:t>
            </w:r>
            <w:r>
              <w:rPr>
                <w:sz w:val="14"/>
              </w:rPr>
              <w:t xml:space="preserve">本法第四十四条，第四十七条至第四十九条，第五十条第一款、第四款和第五十一条规定的处理、处罚，由县级以上人民政府农业行政主管部门决定；第五十条第二款、第三款规定的处理、处罚，由市场监督管理部门决定。 </w:t>
            </w:r>
          </w:p>
          <w:p>
            <w:pPr>
              <w:pStyle w:val="7"/>
              <w:spacing w:before="1"/>
              <w:ind w:left="30"/>
              <w:rPr>
                <w:sz w:val="14"/>
              </w:rPr>
            </w:pPr>
            <w:r>
              <w:rPr>
                <w:sz w:val="14"/>
              </w:rPr>
              <w:t>法律对行政处罚及处罚机关有其他规定的，从其规定。但是，对同一违法行为不得重复处罚。</w:t>
            </w:r>
          </w:p>
        </w:tc>
        <w:tc>
          <w:tcPr>
            <w:tcW w:w="96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9"/>
              </w:rPr>
            </w:pPr>
          </w:p>
          <w:p>
            <w:pPr>
              <w:pStyle w:val="7"/>
              <w:ind w:left="41" w:right="18"/>
              <w:jc w:val="center"/>
              <w:rPr>
                <w:sz w:val="14"/>
              </w:rPr>
            </w:pPr>
            <w:r>
              <w:rPr>
                <w:sz w:val="14"/>
              </w:rPr>
              <w:t>省农业农村厅</w:t>
            </w:r>
          </w:p>
        </w:tc>
        <w:tc>
          <w:tcPr>
            <w:tcW w:w="114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1"/>
              </w:rPr>
            </w:pPr>
          </w:p>
          <w:p>
            <w:pPr>
              <w:pStyle w:val="7"/>
              <w:ind w:left="30" w:right="84"/>
              <w:rPr>
                <w:sz w:val="14"/>
              </w:rPr>
            </w:pPr>
            <w:r>
              <w:rPr>
                <w:sz w:val="14"/>
              </w:rPr>
              <w:t>县级人民政府农业农村部门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6" w:hRule="atLeast"/>
        </w:trPr>
        <w:tc>
          <w:tcPr>
            <w:tcW w:w="456" w:type="dxa"/>
          </w:tcPr>
          <w:p>
            <w:pPr>
              <w:pStyle w:val="7"/>
              <w:rPr>
                <w:rFonts w:ascii="Times New Roman"/>
                <w:sz w:val="14"/>
              </w:rPr>
            </w:pPr>
          </w:p>
          <w:p>
            <w:pPr>
              <w:pStyle w:val="7"/>
              <w:spacing w:before="4"/>
              <w:rPr>
                <w:rFonts w:ascii="Times New Roman"/>
                <w:sz w:val="15"/>
              </w:rPr>
            </w:pPr>
          </w:p>
          <w:p>
            <w:pPr>
              <w:pStyle w:val="7"/>
              <w:ind w:left="29"/>
              <w:jc w:val="center"/>
              <w:rPr>
                <w:sz w:val="14"/>
              </w:rPr>
            </w:pPr>
            <w:r>
              <w:rPr>
                <w:sz w:val="14"/>
              </w:rPr>
              <w:t>18</w:t>
            </w:r>
          </w:p>
        </w:tc>
        <w:tc>
          <w:tcPr>
            <w:tcW w:w="2124" w:type="dxa"/>
          </w:tcPr>
          <w:p>
            <w:pPr>
              <w:pStyle w:val="7"/>
              <w:rPr>
                <w:rFonts w:ascii="Times New Roman"/>
                <w:sz w:val="14"/>
              </w:rPr>
            </w:pPr>
          </w:p>
          <w:p>
            <w:pPr>
              <w:pStyle w:val="7"/>
              <w:spacing w:before="88"/>
              <w:ind w:left="30" w:right="3"/>
              <w:rPr>
                <w:sz w:val="14"/>
              </w:rPr>
            </w:pPr>
            <w:r>
              <w:rPr>
                <w:sz w:val="14"/>
              </w:rPr>
              <w:t>对销售的农产品未按照规定进行包装、标识的行为的处罚</w:t>
            </w:r>
          </w:p>
        </w:tc>
        <w:tc>
          <w:tcPr>
            <w:tcW w:w="840" w:type="dxa"/>
          </w:tcPr>
          <w:p>
            <w:pPr>
              <w:pStyle w:val="7"/>
              <w:rPr>
                <w:rFonts w:ascii="Times New Roman"/>
                <w:sz w:val="14"/>
              </w:rPr>
            </w:pPr>
          </w:p>
          <w:p>
            <w:pPr>
              <w:pStyle w:val="7"/>
              <w:spacing w:before="4"/>
              <w:rPr>
                <w:rFonts w:ascii="Times New Roman"/>
                <w:sz w:val="15"/>
              </w:rPr>
            </w:pPr>
          </w:p>
          <w:p>
            <w:pPr>
              <w:pStyle w:val="7"/>
              <w:ind w:left="24" w:right="1"/>
              <w:jc w:val="center"/>
              <w:rPr>
                <w:sz w:val="14"/>
              </w:rPr>
            </w:pPr>
            <w:r>
              <w:rPr>
                <w:sz w:val="14"/>
              </w:rPr>
              <w:t>行政处罚</w:t>
            </w:r>
          </w:p>
        </w:tc>
        <w:tc>
          <w:tcPr>
            <w:tcW w:w="10164" w:type="dxa"/>
          </w:tcPr>
          <w:p>
            <w:pPr>
              <w:pStyle w:val="7"/>
              <w:spacing w:before="69"/>
              <w:ind w:left="30" w:right="2"/>
              <w:jc w:val="both"/>
              <w:rPr>
                <w:sz w:val="14"/>
              </w:rPr>
            </w:pPr>
            <w:r>
              <w:rPr>
                <w:b/>
                <w:sz w:val="14"/>
              </w:rPr>
              <w:t xml:space="preserve">《中华人民共和国农产品质量安全法》第二十八条   </w:t>
            </w:r>
            <w:r>
              <w:rPr>
                <w:sz w:val="14"/>
              </w:rPr>
              <w:t>农产品生产企业、农民专业合作经济组织以及从事农产品收购的单位或者个人销售的农产品，按照规定应当包装或者附加标识的，须经包装或者附加标识后方可销售。包装物或者标识上应当按照规定标明产品的品名、产地、生产者、生产日期、保质期、产品质量等   级等内容；使用添加剂的，还应当按照规定标明添加剂的名称。具体办法由国务院农业行政主管部门制定。</w:t>
            </w:r>
          </w:p>
          <w:p>
            <w:pPr>
              <w:pStyle w:val="7"/>
              <w:spacing w:before="2"/>
              <w:ind w:left="30"/>
              <w:jc w:val="both"/>
              <w:rPr>
                <w:sz w:val="14"/>
              </w:rPr>
            </w:pPr>
            <w:r>
              <w:rPr>
                <w:b/>
                <w:sz w:val="14"/>
              </w:rPr>
              <w:t xml:space="preserve">第四十八条 </w:t>
            </w:r>
            <w:r>
              <w:rPr>
                <w:sz w:val="14"/>
              </w:rPr>
              <w:t>违反本法第二十八条规定，销售的农产品未按照规定进行包装、标识的，责令限期改正；逾期不改正的，可以处二千元以下罚款。</w:t>
            </w:r>
          </w:p>
        </w:tc>
        <w:tc>
          <w:tcPr>
            <w:tcW w:w="960" w:type="dxa"/>
          </w:tcPr>
          <w:p>
            <w:pPr>
              <w:pStyle w:val="7"/>
              <w:rPr>
                <w:rFonts w:ascii="Times New Roman"/>
                <w:sz w:val="14"/>
              </w:rPr>
            </w:pPr>
          </w:p>
          <w:p>
            <w:pPr>
              <w:pStyle w:val="7"/>
              <w:spacing w:before="4"/>
              <w:rPr>
                <w:rFonts w:ascii="Times New Roman"/>
                <w:sz w:val="15"/>
              </w:rPr>
            </w:pPr>
          </w:p>
          <w:p>
            <w:pPr>
              <w:pStyle w:val="7"/>
              <w:ind w:left="41" w:right="18"/>
              <w:jc w:val="center"/>
              <w:rPr>
                <w:sz w:val="14"/>
              </w:rPr>
            </w:pPr>
            <w:r>
              <w:rPr>
                <w:sz w:val="14"/>
              </w:rPr>
              <w:t>省农业农村厅</w:t>
            </w:r>
          </w:p>
        </w:tc>
        <w:tc>
          <w:tcPr>
            <w:tcW w:w="1140" w:type="dxa"/>
          </w:tcPr>
          <w:p>
            <w:pPr>
              <w:pStyle w:val="7"/>
              <w:rPr>
                <w:rFonts w:ascii="Times New Roman"/>
                <w:sz w:val="14"/>
              </w:rPr>
            </w:pPr>
          </w:p>
          <w:p>
            <w:pPr>
              <w:pStyle w:val="7"/>
              <w:spacing w:before="88"/>
              <w:ind w:left="30" w:right="84"/>
              <w:rPr>
                <w:sz w:val="14"/>
              </w:rPr>
            </w:pPr>
            <w:r>
              <w:rPr>
                <w:sz w:val="14"/>
              </w:rPr>
              <w:t>县级人民政府农业农村部门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5" w:hRule="atLeast"/>
        </w:trPr>
        <w:tc>
          <w:tcPr>
            <w:tcW w:w="456" w:type="dxa"/>
          </w:tcPr>
          <w:p>
            <w:pPr>
              <w:pStyle w:val="7"/>
              <w:rPr>
                <w:rFonts w:ascii="Times New Roman"/>
                <w:sz w:val="14"/>
              </w:rPr>
            </w:pPr>
          </w:p>
          <w:p>
            <w:pPr>
              <w:pStyle w:val="7"/>
              <w:rPr>
                <w:rFonts w:ascii="Times New Roman"/>
                <w:sz w:val="14"/>
              </w:rPr>
            </w:pPr>
          </w:p>
          <w:p>
            <w:pPr>
              <w:pStyle w:val="7"/>
              <w:spacing w:before="100"/>
              <w:ind w:left="29"/>
              <w:jc w:val="center"/>
              <w:rPr>
                <w:sz w:val="14"/>
              </w:rPr>
            </w:pPr>
            <w:r>
              <w:rPr>
                <w:sz w:val="14"/>
              </w:rPr>
              <w:t>19</w:t>
            </w:r>
          </w:p>
        </w:tc>
        <w:tc>
          <w:tcPr>
            <w:tcW w:w="2124" w:type="dxa"/>
          </w:tcPr>
          <w:p>
            <w:pPr>
              <w:pStyle w:val="7"/>
              <w:rPr>
                <w:rFonts w:ascii="Times New Roman"/>
                <w:sz w:val="14"/>
              </w:rPr>
            </w:pPr>
          </w:p>
          <w:p>
            <w:pPr>
              <w:pStyle w:val="7"/>
              <w:spacing w:before="81"/>
              <w:ind w:left="30" w:right="60"/>
              <w:jc w:val="both"/>
              <w:rPr>
                <w:sz w:val="14"/>
              </w:rPr>
            </w:pPr>
            <w:r>
              <w:rPr>
                <w:sz w:val="14"/>
              </w:rPr>
              <w:t>对互联网上网服务营业场所、娱乐场所在规定的营业时间以外营业的行为的处罚</w:t>
            </w:r>
          </w:p>
        </w:tc>
        <w:tc>
          <w:tcPr>
            <w:tcW w:w="840" w:type="dxa"/>
          </w:tcPr>
          <w:p>
            <w:pPr>
              <w:pStyle w:val="7"/>
              <w:rPr>
                <w:rFonts w:ascii="Times New Roman"/>
                <w:sz w:val="14"/>
              </w:rPr>
            </w:pPr>
          </w:p>
          <w:p>
            <w:pPr>
              <w:pStyle w:val="7"/>
              <w:rPr>
                <w:rFonts w:ascii="Times New Roman"/>
                <w:sz w:val="14"/>
              </w:rPr>
            </w:pPr>
          </w:p>
          <w:p>
            <w:pPr>
              <w:pStyle w:val="7"/>
              <w:spacing w:before="100"/>
              <w:ind w:left="24" w:right="1"/>
              <w:jc w:val="center"/>
              <w:rPr>
                <w:sz w:val="14"/>
              </w:rPr>
            </w:pPr>
            <w:r>
              <w:rPr>
                <w:sz w:val="14"/>
              </w:rPr>
              <w:t>行政处罚</w:t>
            </w:r>
          </w:p>
        </w:tc>
        <w:tc>
          <w:tcPr>
            <w:tcW w:w="10164" w:type="dxa"/>
          </w:tcPr>
          <w:p>
            <w:pPr>
              <w:pStyle w:val="7"/>
              <w:spacing w:before="62"/>
              <w:ind w:left="30" w:right="39"/>
              <w:rPr>
                <w:sz w:val="14"/>
              </w:rPr>
            </w:pPr>
            <w:r>
              <w:rPr>
                <w:b/>
                <w:sz w:val="14"/>
              </w:rPr>
              <w:t xml:space="preserve">《互联网上网服务营业场所管理条例》（国务院令第363号）第三十一条第一款第一项    </w:t>
            </w:r>
            <w:r>
              <w:rPr>
                <w:sz w:val="14"/>
              </w:rPr>
              <w:t>互联网上网服务营业场所经营单位违反本条例的规定，有下列行为之一的，由文化行政部门给予警告，可以并处15000元以下的罚款；情节严重的，责令停业整顿，直至吊销《网络文化经营许可证》：</w:t>
            </w:r>
          </w:p>
          <w:p>
            <w:pPr>
              <w:pStyle w:val="7"/>
              <w:spacing w:before="1"/>
              <w:ind w:left="30"/>
              <w:rPr>
                <w:sz w:val="14"/>
              </w:rPr>
            </w:pPr>
            <w:r>
              <w:rPr>
                <w:sz w:val="14"/>
              </w:rPr>
              <w:t>（一）在规定的营业时间以外营业的；</w:t>
            </w:r>
          </w:p>
          <w:p>
            <w:pPr>
              <w:pStyle w:val="7"/>
              <w:spacing w:before="1"/>
              <w:ind w:left="30" w:right="120"/>
              <w:rPr>
                <w:sz w:val="14"/>
              </w:rPr>
            </w:pPr>
            <w:r>
              <w:rPr>
                <w:b/>
                <w:w w:val="101"/>
                <w:sz w:val="14"/>
              </w:rPr>
              <w:t xml:space="preserve"> </w:t>
            </w:r>
            <w:r>
              <w:rPr>
                <w:b/>
                <w:sz w:val="14"/>
              </w:rPr>
              <w:t xml:space="preserve">《娱乐场所管理条例》（国务院令第458号）第四十九条第一款第二项    </w:t>
            </w:r>
            <w:r>
              <w:rPr>
                <w:sz w:val="14"/>
              </w:rPr>
              <w:t>娱乐场所违反本条例规定，有下列情形之一的，由县级人民政府文化主管部门责令改正，给予警告；情节严重的，责令停业整顿1个月至3个月：（二）在本条例规定的禁止营业时间内营业的；</w:t>
            </w:r>
          </w:p>
        </w:tc>
        <w:tc>
          <w:tcPr>
            <w:tcW w:w="960" w:type="dxa"/>
          </w:tcPr>
          <w:p>
            <w:pPr>
              <w:pStyle w:val="7"/>
              <w:rPr>
                <w:rFonts w:ascii="Times New Roman"/>
                <w:sz w:val="14"/>
              </w:rPr>
            </w:pPr>
          </w:p>
          <w:p>
            <w:pPr>
              <w:pStyle w:val="7"/>
              <w:rPr>
                <w:rFonts w:ascii="Times New Roman"/>
                <w:sz w:val="14"/>
              </w:rPr>
            </w:pPr>
          </w:p>
          <w:p>
            <w:pPr>
              <w:pStyle w:val="7"/>
              <w:spacing w:before="100"/>
              <w:ind w:left="44" w:right="16"/>
              <w:jc w:val="center"/>
              <w:rPr>
                <w:sz w:val="14"/>
              </w:rPr>
            </w:pPr>
            <w:r>
              <w:rPr>
                <w:sz w:val="14"/>
              </w:rPr>
              <w:t>省文化旅游厅</w:t>
            </w:r>
          </w:p>
        </w:tc>
        <w:tc>
          <w:tcPr>
            <w:tcW w:w="1140" w:type="dxa"/>
          </w:tcPr>
          <w:p>
            <w:pPr>
              <w:pStyle w:val="7"/>
              <w:rPr>
                <w:rFonts w:ascii="Times New Roman"/>
                <w:sz w:val="14"/>
              </w:rPr>
            </w:pPr>
          </w:p>
          <w:p>
            <w:pPr>
              <w:pStyle w:val="7"/>
              <w:spacing w:before="11"/>
              <w:rPr>
                <w:rFonts w:ascii="Times New Roman"/>
                <w:sz w:val="14"/>
              </w:rPr>
            </w:pPr>
          </w:p>
          <w:p>
            <w:pPr>
              <w:pStyle w:val="7"/>
              <w:ind w:left="30" w:right="84"/>
              <w:rPr>
                <w:sz w:val="14"/>
              </w:rPr>
            </w:pPr>
            <w:r>
              <w:rPr>
                <w:sz w:val="14"/>
              </w:rPr>
              <w:t>县级以上人民政府文化行政部门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8" w:hRule="atLeast"/>
        </w:trPr>
        <w:tc>
          <w:tcPr>
            <w:tcW w:w="456" w:type="dxa"/>
          </w:tcPr>
          <w:p>
            <w:pPr>
              <w:pStyle w:val="7"/>
              <w:rPr>
                <w:rFonts w:ascii="Times New Roman"/>
                <w:sz w:val="14"/>
              </w:rPr>
            </w:pPr>
          </w:p>
          <w:p>
            <w:pPr>
              <w:pStyle w:val="7"/>
              <w:rPr>
                <w:rFonts w:ascii="Times New Roman"/>
                <w:sz w:val="14"/>
              </w:rPr>
            </w:pPr>
          </w:p>
          <w:p>
            <w:pPr>
              <w:pStyle w:val="7"/>
              <w:spacing w:before="9"/>
              <w:rPr>
                <w:rFonts w:ascii="Times New Roman"/>
                <w:sz w:val="15"/>
              </w:rPr>
            </w:pPr>
          </w:p>
          <w:p>
            <w:pPr>
              <w:pStyle w:val="7"/>
              <w:ind w:left="29"/>
              <w:jc w:val="center"/>
              <w:rPr>
                <w:sz w:val="14"/>
              </w:rPr>
            </w:pPr>
            <w:r>
              <w:rPr>
                <w:sz w:val="14"/>
              </w:rPr>
              <w:t>20</w:t>
            </w:r>
          </w:p>
        </w:tc>
        <w:tc>
          <w:tcPr>
            <w:tcW w:w="2124" w:type="dxa"/>
          </w:tcPr>
          <w:p>
            <w:pPr>
              <w:pStyle w:val="7"/>
              <w:rPr>
                <w:rFonts w:ascii="Times New Roman"/>
                <w:sz w:val="14"/>
              </w:rPr>
            </w:pPr>
          </w:p>
          <w:p>
            <w:pPr>
              <w:pStyle w:val="7"/>
              <w:spacing w:before="1"/>
              <w:rPr>
                <w:rFonts w:ascii="Times New Roman"/>
                <w:sz w:val="14"/>
              </w:rPr>
            </w:pPr>
          </w:p>
          <w:p>
            <w:pPr>
              <w:pStyle w:val="7"/>
              <w:ind w:left="30" w:right="60"/>
              <w:jc w:val="both"/>
              <w:rPr>
                <w:sz w:val="14"/>
              </w:rPr>
            </w:pPr>
            <w:r>
              <w:rPr>
                <w:sz w:val="14"/>
              </w:rPr>
              <w:t>对互联网上网服务营业场所、娱乐场所未按规定接纳未成年人进入营业场所的行为的处罚</w:t>
            </w:r>
          </w:p>
        </w:tc>
        <w:tc>
          <w:tcPr>
            <w:tcW w:w="840" w:type="dxa"/>
          </w:tcPr>
          <w:p>
            <w:pPr>
              <w:pStyle w:val="7"/>
              <w:rPr>
                <w:rFonts w:ascii="Times New Roman"/>
                <w:sz w:val="14"/>
              </w:rPr>
            </w:pPr>
          </w:p>
          <w:p>
            <w:pPr>
              <w:pStyle w:val="7"/>
              <w:rPr>
                <w:rFonts w:ascii="Times New Roman"/>
                <w:sz w:val="14"/>
              </w:rPr>
            </w:pPr>
          </w:p>
          <w:p>
            <w:pPr>
              <w:pStyle w:val="7"/>
              <w:spacing w:before="9"/>
              <w:rPr>
                <w:rFonts w:ascii="Times New Roman"/>
                <w:sz w:val="15"/>
              </w:rPr>
            </w:pPr>
          </w:p>
          <w:p>
            <w:pPr>
              <w:pStyle w:val="7"/>
              <w:ind w:left="24" w:right="1"/>
              <w:jc w:val="center"/>
              <w:rPr>
                <w:sz w:val="14"/>
              </w:rPr>
            </w:pPr>
            <w:r>
              <w:rPr>
                <w:sz w:val="14"/>
              </w:rPr>
              <w:t>行政处罚</w:t>
            </w:r>
          </w:p>
        </w:tc>
        <w:tc>
          <w:tcPr>
            <w:tcW w:w="10164" w:type="dxa"/>
          </w:tcPr>
          <w:p>
            <w:pPr>
              <w:pStyle w:val="7"/>
              <w:spacing w:before="2"/>
              <w:ind w:left="30" w:right="32"/>
              <w:rPr>
                <w:sz w:val="14"/>
              </w:rPr>
            </w:pPr>
            <w:r>
              <w:rPr>
                <w:b/>
                <w:sz w:val="14"/>
              </w:rPr>
              <w:t xml:space="preserve">《互联网上网服务营业场所管理条例》（国务院令第363号）第三十一条第一款第二项    </w:t>
            </w:r>
            <w:r>
              <w:rPr>
                <w:sz w:val="14"/>
              </w:rPr>
              <w:t>互联网上网服务营业场所经营单位违反本条例的规定，有下列行为之一的，由文化行政部门给予警告，可以并处15000元以下的罚款；情节严重的，责令停业整顿，直至吊销《网络文化经营许可证》：   （二）接纳未成年人进入营业场所的；</w:t>
            </w:r>
          </w:p>
          <w:p>
            <w:pPr>
              <w:pStyle w:val="7"/>
              <w:spacing w:before="2"/>
              <w:ind w:left="30" w:right="44"/>
              <w:rPr>
                <w:sz w:val="14"/>
              </w:rPr>
            </w:pPr>
            <w:r>
              <w:rPr>
                <w:b/>
                <w:sz w:val="14"/>
              </w:rPr>
              <w:t>《娱乐场所管理条例》（国务院令第</w:t>
            </w:r>
            <w:r>
              <w:rPr>
                <w:b/>
                <w:spacing w:val="3"/>
                <w:sz w:val="14"/>
              </w:rPr>
              <w:t>458</w:t>
            </w:r>
            <w:r>
              <w:rPr>
                <w:b/>
                <w:sz w:val="14"/>
              </w:rPr>
              <w:t>号</w:t>
            </w:r>
            <w:r>
              <w:rPr>
                <w:b/>
                <w:spacing w:val="3"/>
                <w:sz w:val="14"/>
              </w:rPr>
              <w:t>）</w:t>
            </w:r>
            <w:r>
              <w:rPr>
                <w:b/>
                <w:spacing w:val="2"/>
                <w:sz w:val="14"/>
              </w:rPr>
              <w:t xml:space="preserve">第四十八条第一款第三项、第四项    </w:t>
            </w:r>
            <w:r>
              <w:rPr>
                <w:sz w:val="14"/>
              </w:rPr>
              <w:t>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   顿1个月至6个月：（三）歌舞娱乐场所接纳未成年人的；（四）游艺娱乐场所设置的电子游戏机在国家法定节假日外向未成年人提供的；</w:t>
            </w:r>
          </w:p>
        </w:tc>
        <w:tc>
          <w:tcPr>
            <w:tcW w:w="960" w:type="dxa"/>
          </w:tcPr>
          <w:p>
            <w:pPr>
              <w:pStyle w:val="7"/>
              <w:rPr>
                <w:rFonts w:ascii="Times New Roman"/>
                <w:sz w:val="14"/>
              </w:rPr>
            </w:pPr>
          </w:p>
          <w:p>
            <w:pPr>
              <w:pStyle w:val="7"/>
              <w:rPr>
                <w:rFonts w:ascii="Times New Roman"/>
                <w:sz w:val="14"/>
              </w:rPr>
            </w:pPr>
          </w:p>
          <w:p>
            <w:pPr>
              <w:pStyle w:val="7"/>
              <w:spacing w:before="9"/>
              <w:rPr>
                <w:rFonts w:ascii="Times New Roman"/>
                <w:sz w:val="15"/>
              </w:rPr>
            </w:pPr>
          </w:p>
          <w:p>
            <w:pPr>
              <w:pStyle w:val="7"/>
              <w:ind w:left="44" w:right="16"/>
              <w:jc w:val="center"/>
              <w:rPr>
                <w:sz w:val="14"/>
              </w:rPr>
            </w:pPr>
            <w:r>
              <w:rPr>
                <w:sz w:val="14"/>
              </w:rPr>
              <w:t>省文化旅游厅</w:t>
            </w:r>
          </w:p>
        </w:tc>
        <w:tc>
          <w:tcPr>
            <w:tcW w:w="1140" w:type="dxa"/>
          </w:tcPr>
          <w:p>
            <w:pPr>
              <w:pStyle w:val="7"/>
              <w:rPr>
                <w:rFonts w:ascii="Times New Roman"/>
                <w:sz w:val="14"/>
              </w:rPr>
            </w:pPr>
          </w:p>
          <w:p>
            <w:pPr>
              <w:pStyle w:val="7"/>
              <w:rPr>
                <w:rFonts w:ascii="Times New Roman"/>
                <w:sz w:val="14"/>
              </w:rPr>
            </w:pPr>
          </w:p>
          <w:p>
            <w:pPr>
              <w:pStyle w:val="7"/>
              <w:spacing w:before="93"/>
              <w:ind w:left="30" w:right="84"/>
              <w:rPr>
                <w:sz w:val="14"/>
              </w:rPr>
            </w:pPr>
            <w:r>
              <w:rPr>
                <w:sz w:val="14"/>
              </w:rPr>
              <w:t>县级以上人民政府文化行政部门</w:t>
            </w:r>
          </w:p>
        </w:tc>
      </w:tr>
    </w:tbl>
    <w:p>
      <w:pPr>
        <w:spacing w:after="0"/>
        <w:rPr>
          <w:sz w:val="14"/>
        </w:rPr>
        <w:sectPr>
          <w:pgSz w:w="16840" w:h="11910" w:orient="landscape"/>
          <w:pgMar w:top="1100" w:right="460" w:bottom="620" w:left="460" w:header="0" w:footer="437" w:gutter="0"/>
          <w:cols w:space="720" w:num="1"/>
        </w:sectPr>
      </w:pPr>
    </w:p>
    <w:p>
      <w:pPr>
        <w:pStyle w:val="2"/>
        <w:rPr>
          <w:rFonts w:ascii="Times New Roman"/>
          <w:sz w:val="20"/>
        </w:rPr>
      </w:pPr>
    </w:p>
    <w:p>
      <w:pPr>
        <w:pStyle w:val="2"/>
        <w:spacing w:before="5"/>
        <w:rPr>
          <w:rFonts w:ascii="Times New Roman"/>
          <w:sz w:val="16"/>
        </w:rPr>
      </w:pPr>
    </w:p>
    <w:tbl>
      <w:tblPr>
        <w:tblStyle w:val="3"/>
        <w:tblW w:w="0" w:type="auto"/>
        <w:tblInd w:w="1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6"/>
        <w:gridCol w:w="2124"/>
        <w:gridCol w:w="840"/>
        <w:gridCol w:w="10164"/>
        <w:gridCol w:w="960"/>
        <w:gridCol w:w="11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456" w:type="dxa"/>
          </w:tcPr>
          <w:p>
            <w:pPr>
              <w:pStyle w:val="7"/>
              <w:spacing w:before="113"/>
              <w:ind w:left="28"/>
              <w:jc w:val="center"/>
              <w:rPr>
                <w:rFonts w:hint="eastAsia" w:ascii="黑体" w:eastAsia="黑体"/>
                <w:sz w:val="19"/>
              </w:rPr>
            </w:pPr>
            <w:r>
              <w:rPr>
                <w:rFonts w:hint="eastAsia" w:ascii="黑体" w:eastAsia="黑体"/>
                <w:sz w:val="19"/>
              </w:rPr>
              <w:t>序号</w:t>
            </w:r>
          </w:p>
        </w:tc>
        <w:tc>
          <w:tcPr>
            <w:tcW w:w="2124" w:type="dxa"/>
          </w:tcPr>
          <w:p>
            <w:pPr>
              <w:pStyle w:val="7"/>
              <w:spacing w:before="113"/>
              <w:ind w:left="683"/>
              <w:rPr>
                <w:rFonts w:hint="eastAsia" w:ascii="黑体" w:eastAsia="黑体"/>
                <w:sz w:val="19"/>
              </w:rPr>
            </w:pPr>
            <w:r>
              <w:rPr>
                <w:rFonts w:hint="eastAsia" w:ascii="黑体" w:eastAsia="黑体"/>
                <w:sz w:val="19"/>
              </w:rPr>
              <w:t>职权名称</w:t>
            </w:r>
          </w:p>
        </w:tc>
        <w:tc>
          <w:tcPr>
            <w:tcW w:w="840" w:type="dxa"/>
          </w:tcPr>
          <w:p>
            <w:pPr>
              <w:pStyle w:val="7"/>
              <w:spacing w:before="113"/>
              <w:ind w:left="24" w:right="1"/>
              <w:jc w:val="center"/>
              <w:rPr>
                <w:rFonts w:hint="eastAsia" w:ascii="黑体" w:eastAsia="黑体"/>
                <w:sz w:val="19"/>
              </w:rPr>
            </w:pPr>
            <w:r>
              <w:rPr>
                <w:rFonts w:hint="eastAsia" w:ascii="黑体" w:eastAsia="黑体"/>
                <w:sz w:val="19"/>
              </w:rPr>
              <w:t>职权类型</w:t>
            </w:r>
          </w:p>
        </w:tc>
        <w:tc>
          <w:tcPr>
            <w:tcW w:w="10164" w:type="dxa"/>
          </w:tcPr>
          <w:p>
            <w:pPr>
              <w:pStyle w:val="7"/>
              <w:spacing w:before="113"/>
              <w:ind w:left="4687" w:right="4662"/>
              <w:jc w:val="center"/>
              <w:rPr>
                <w:rFonts w:hint="eastAsia" w:ascii="黑体" w:eastAsia="黑体"/>
                <w:sz w:val="19"/>
              </w:rPr>
            </w:pPr>
            <w:r>
              <w:rPr>
                <w:rFonts w:hint="eastAsia" w:ascii="黑体" w:eastAsia="黑体"/>
                <w:sz w:val="19"/>
              </w:rPr>
              <w:t>职权依据</w:t>
            </w:r>
          </w:p>
        </w:tc>
        <w:tc>
          <w:tcPr>
            <w:tcW w:w="960" w:type="dxa"/>
          </w:tcPr>
          <w:p>
            <w:pPr>
              <w:pStyle w:val="7"/>
              <w:spacing w:before="113"/>
              <w:ind w:left="41" w:right="18"/>
              <w:jc w:val="center"/>
              <w:rPr>
                <w:rFonts w:hint="eastAsia" w:ascii="黑体" w:eastAsia="黑体"/>
                <w:sz w:val="19"/>
              </w:rPr>
            </w:pPr>
            <w:r>
              <w:rPr>
                <w:rFonts w:hint="eastAsia" w:ascii="黑体" w:eastAsia="黑体"/>
                <w:sz w:val="19"/>
              </w:rPr>
              <w:t>主管部门</w:t>
            </w:r>
          </w:p>
        </w:tc>
        <w:tc>
          <w:tcPr>
            <w:tcW w:w="1140" w:type="dxa"/>
          </w:tcPr>
          <w:p>
            <w:pPr>
              <w:pStyle w:val="7"/>
              <w:spacing w:before="113"/>
              <w:ind w:left="95"/>
              <w:rPr>
                <w:rFonts w:hint="eastAsia" w:ascii="黑体" w:eastAsia="黑体"/>
                <w:sz w:val="19"/>
              </w:rPr>
            </w:pPr>
            <w:r>
              <w:rPr>
                <w:rFonts w:hint="eastAsia" w:ascii="黑体" w:eastAsia="黑体"/>
                <w:sz w:val="19"/>
              </w:rPr>
              <w:t>原实施主体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2" w:hRule="atLeast"/>
        </w:trPr>
        <w:tc>
          <w:tcPr>
            <w:tcW w:w="456" w:type="dxa"/>
          </w:tcPr>
          <w:p>
            <w:pPr>
              <w:pStyle w:val="7"/>
              <w:rPr>
                <w:rFonts w:ascii="Times New Roman"/>
                <w:sz w:val="14"/>
              </w:rPr>
            </w:pPr>
          </w:p>
          <w:p>
            <w:pPr>
              <w:pStyle w:val="7"/>
              <w:rPr>
                <w:rFonts w:ascii="Times New Roman"/>
                <w:sz w:val="17"/>
              </w:rPr>
            </w:pPr>
          </w:p>
          <w:p>
            <w:pPr>
              <w:pStyle w:val="7"/>
              <w:spacing w:before="1"/>
              <w:ind w:left="29"/>
              <w:jc w:val="center"/>
              <w:rPr>
                <w:sz w:val="14"/>
              </w:rPr>
            </w:pPr>
            <w:r>
              <w:rPr>
                <w:sz w:val="14"/>
              </w:rPr>
              <w:t>21</w:t>
            </w:r>
          </w:p>
        </w:tc>
        <w:tc>
          <w:tcPr>
            <w:tcW w:w="2124" w:type="dxa"/>
          </w:tcPr>
          <w:p>
            <w:pPr>
              <w:pStyle w:val="7"/>
              <w:spacing w:before="4"/>
              <w:rPr>
                <w:rFonts w:ascii="Times New Roman"/>
                <w:sz w:val="15"/>
              </w:rPr>
            </w:pPr>
          </w:p>
          <w:p>
            <w:pPr>
              <w:pStyle w:val="7"/>
              <w:spacing w:before="1"/>
              <w:ind w:left="30" w:right="60"/>
              <w:jc w:val="both"/>
              <w:rPr>
                <w:sz w:val="14"/>
              </w:rPr>
            </w:pPr>
            <w:r>
              <w:rPr>
                <w:sz w:val="14"/>
              </w:rPr>
              <w:t>对互联网上网服务营业场所未悬挂《网络文化经营许可证》或者未成年人禁入标志的行为的处罚</w:t>
            </w:r>
          </w:p>
        </w:tc>
        <w:tc>
          <w:tcPr>
            <w:tcW w:w="840" w:type="dxa"/>
          </w:tcPr>
          <w:p>
            <w:pPr>
              <w:pStyle w:val="7"/>
              <w:rPr>
                <w:rFonts w:ascii="Times New Roman"/>
                <w:sz w:val="14"/>
              </w:rPr>
            </w:pPr>
          </w:p>
          <w:p>
            <w:pPr>
              <w:pStyle w:val="7"/>
              <w:rPr>
                <w:rFonts w:ascii="Times New Roman"/>
                <w:sz w:val="17"/>
              </w:rPr>
            </w:pPr>
          </w:p>
          <w:p>
            <w:pPr>
              <w:pStyle w:val="7"/>
              <w:spacing w:before="1"/>
              <w:ind w:left="24" w:right="1"/>
              <w:jc w:val="center"/>
              <w:rPr>
                <w:sz w:val="14"/>
              </w:rPr>
            </w:pPr>
            <w:r>
              <w:rPr>
                <w:sz w:val="14"/>
              </w:rPr>
              <w:t>行政处罚</w:t>
            </w:r>
          </w:p>
        </w:tc>
        <w:tc>
          <w:tcPr>
            <w:tcW w:w="10164" w:type="dxa"/>
          </w:tcPr>
          <w:p>
            <w:pPr>
              <w:pStyle w:val="7"/>
              <w:spacing w:before="4"/>
              <w:rPr>
                <w:rFonts w:ascii="Times New Roman"/>
                <w:sz w:val="15"/>
              </w:rPr>
            </w:pPr>
          </w:p>
          <w:p>
            <w:pPr>
              <w:pStyle w:val="7"/>
              <w:spacing w:before="1"/>
              <w:ind w:left="30" w:right="32"/>
              <w:jc w:val="both"/>
              <w:rPr>
                <w:sz w:val="14"/>
              </w:rPr>
            </w:pPr>
            <w:r>
              <w:rPr>
                <w:b/>
                <w:sz w:val="14"/>
              </w:rPr>
              <w:t xml:space="preserve">《互联网上网服务营业场所管理条例》（国务院令第363号）第三十一条第一款第五项    </w:t>
            </w:r>
            <w:r>
              <w:rPr>
                <w:sz w:val="14"/>
              </w:rPr>
              <w:t>互联网上网服务营业场所经营单位违反本条例的规定，有下列行为之一的，由文化行政部门给予警告，可以并处15000元以下的罚款；情节严重的，责令停业整顿，直至吊销《网络文化经营许可证》：   （五）未悬挂《网络文化经营许可证》或者未成年人禁入标志的。</w:t>
            </w:r>
          </w:p>
        </w:tc>
        <w:tc>
          <w:tcPr>
            <w:tcW w:w="960" w:type="dxa"/>
          </w:tcPr>
          <w:p>
            <w:pPr>
              <w:pStyle w:val="7"/>
              <w:rPr>
                <w:rFonts w:ascii="Times New Roman"/>
                <w:sz w:val="14"/>
              </w:rPr>
            </w:pPr>
          </w:p>
          <w:p>
            <w:pPr>
              <w:pStyle w:val="7"/>
              <w:rPr>
                <w:rFonts w:ascii="Times New Roman"/>
                <w:sz w:val="17"/>
              </w:rPr>
            </w:pPr>
          </w:p>
          <w:p>
            <w:pPr>
              <w:pStyle w:val="7"/>
              <w:spacing w:before="1"/>
              <w:ind w:left="44" w:right="16"/>
              <w:jc w:val="center"/>
              <w:rPr>
                <w:sz w:val="14"/>
              </w:rPr>
            </w:pPr>
            <w:r>
              <w:rPr>
                <w:sz w:val="14"/>
              </w:rPr>
              <w:t>省文化旅游厅</w:t>
            </w:r>
          </w:p>
        </w:tc>
        <w:tc>
          <w:tcPr>
            <w:tcW w:w="1140" w:type="dxa"/>
          </w:tcPr>
          <w:p>
            <w:pPr>
              <w:pStyle w:val="7"/>
              <w:rPr>
                <w:rFonts w:ascii="Times New Roman"/>
                <w:sz w:val="14"/>
              </w:rPr>
            </w:pPr>
          </w:p>
          <w:p>
            <w:pPr>
              <w:pStyle w:val="7"/>
              <w:spacing w:before="105"/>
              <w:ind w:left="30" w:right="84"/>
              <w:rPr>
                <w:sz w:val="14"/>
              </w:rPr>
            </w:pPr>
            <w:r>
              <w:rPr>
                <w:sz w:val="14"/>
              </w:rPr>
              <w:t>县级以上人民政府文化行政部门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9" w:hRule="atLeast"/>
        </w:trPr>
        <w:tc>
          <w:tcPr>
            <w:tcW w:w="456" w:type="dxa"/>
          </w:tcPr>
          <w:p>
            <w:pPr>
              <w:pStyle w:val="7"/>
              <w:spacing w:before="6"/>
              <w:rPr>
                <w:rFonts w:ascii="Times New Roman"/>
                <w:sz w:val="19"/>
              </w:rPr>
            </w:pPr>
          </w:p>
          <w:p>
            <w:pPr>
              <w:pStyle w:val="7"/>
              <w:spacing w:before="1"/>
              <w:ind w:left="29"/>
              <w:jc w:val="center"/>
              <w:rPr>
                <w:sz w:val="14"/>
              </w:rPr>
            </w:pPr>
            <w:r>
              <w:rPr>
                <w:sz w:val="14"/>
              </w:rPr>
              <w:t>22</w:t>
            </w:r>
          </w:p>
        </w:tc>
        <w:tc>
          <w:tcPr>
            <w:tcW w:w="2124" w:type="dxa"/>
          </w:tcPr>
          <w:p>
            <w:pPr>
              <w:pStyle w:val="7"/>
              <w:spacing w:before="45"/>
              <w:ind w:left="30" w:right="60"/>
              <w:jc w:val="both"/>
              <w:rPr>
                <w:sz w:val="14"/>
              </w:rPr>
            </w:pPr>
            <w:r>
              <w:rPr>
                <w:sz w:val="14"/>
              </w:rPr>
              <w:t>对娱乐场所未按照规定悬挂警示标志、未成年人禁入或者限入标志的行为的处罚</w:t>
            </w:r>
          </w:p>
        </w:tc>
        <w:tc>
          <w:tcPr>
            <w:tcW w:w="840" w:type="dxa"/>
          </w:tcPr>
          <w:p>
            <w:pPr>
              <w:pStyle w:val="7"/>
              <w:spacing w:before="6"/>
              <w:rPr>
                <w:rFonts w:ascii="Times New Roman"/>
                <w:sz w:val="19"/>
              </w:rPr>
            </w:pPr>
          </w:p>
          <w:p>
            <w:pPr>
              <w:pStyle w:val="7"/>
              <w:spacing w:before="1"/>
              <w:ind w:left="24" w:right="1"/>
              <w:jc w:val="center"/>
              <w:rPr>
                <w:sz w:val="14"/>
              </w:rPr>
            </w:pPr>
            <w:r>
              <w:rPr>
                <w:sz w:val="14"/>
              </w:rPr>
              <w:t>行政处罚</w:t>
            </w:r>
          </w:p>
        </w:tc>
        <w:tc>
          <w:tcPr>
            <w:tcW w:w="10164" w:type="dxa"/>
          </w:tcPr>
          <w:p>
            <w:pPr>
              <w:pStyle w:val="7"/>
              <w:spacing w:before="7"/>
              <w:rPr>
                <w:rFonts w:ascii="Times New Roman"/>
                <w:sz w:val="11"/>
              </w:rPr>
            </w:pPr>
          </w:p>
          <w:p>
            <w:pPr>
              <w:pStyle w:val="7"/>
              <w:ind w:left="30" w:right="60"/>
              <w:rPr>
                <w:sz w:val="14"/>
              </w:rPr>
            </w:pPr>
            <w:r>
              <w:rPr>
                <w:b/>
                <w:sz w:val="14"/>
              </w:rPr>
              <w:t xml:space="preserve">《娱乐场所管理条例》（国务院令第458号）第五十一条    </w:t>
            </w:r>
            <w:r>
              <w:rPr>
                <w:sz w:val="14"/>
              </w:rPr>
              <w:t>娱乐场所未按照本条例规定悬挂警示标志、未成年人禁入或者限入标志的，由县级人民政府文化主管部门、县级公安部门依据法定职权责令改正，给予警告。</w:t>
            </w:r>
          </w:p>
        </w:tc>
        <w:tc>
          <w:tcPr>
            <w:tcW w:w="960" w:type="dxa"/>
          </w:tcPr>
          <w:p>
            <w:pPr>
              <w:pStyle w:val="7"/>
              <w:spacing w:before="6"/>
              <w:rPr>
                <w:rFonts w:ascii="Times New Roman"/>
                <w:sz w:val="19"/>
              </w:rPr>
            </w:pPr>
          </w:p>
          <w:p>
            <w:pPr>
              <w:pStyle w:val="7"/>
              <w:spacing w:before="1"/>
              <w:ind w:left="44" w:right="16"/>
              <w:jc w:val="center"/>
              <w:rPr>
                <w:sz w:val="14"/>
              </w:rPr>
            </w:pPr>
            <w:r>
              <w:rPr>
                <w:sz w:val="14"/>
              </w:rPr>
              <w:t>省文化旅游厅</w:t>
            </w:r>
          </w:p>
        </w:tc>
        <w:tc>
          <w:tcPr>
            <w:tcW w:w="1140" w:type="dxa"/>
          </w:tcPr>
          <w:p>
            <w:pPr>
              <w:pStyle w:val="7"/>
              <w:spacing w:before="7"/>
              <w:rPr>
                <w:rFonts w:ascii="Times New Roman"/>
                <w:sz w:val="11"/>
              </w:rPr>
            </w:pPr>
          </w:p>
          <w:p>
            <w:pPr>
              <w:pStyle w:val="7"/>
              <w:ind w:left="30" w:right="84"/>
              <w:rPr>
                <w:sz w:val="14"/>
              </w:rPr>
            </w:pPr>
            <w:r>
              <w:rPr>
                <w:sz w:val="14"/>
              </w:rPr>
              <w:t>县级以上人民政府文化主管部门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6" w:hRule="atLeast"/>
        </w:trPr>
        <w:tc>
          <w:tcPr>
            <w:tcW w:w="456" w:type="dxa"/>
          </w:tcPr>
          <w:p>
            <w:pPr>
              <w:pStyle w:val="7"/>
              <w:rPr>
                <w:rFonts w:ascii="Times New Roman"/>
                <w:sz w:val="14"/>
              </w:rPr>
            </w:pPr>
          </w:p>
          <w:p>
            <w:pPr>
              <w:pStyle w:val="7"/>
              <w:rPr>
                <w:rFonts w:ascii="Times New Roman"/>
                <w:sz w:val="14"/>
              </w:rPr>
            </w:pPr>
          </w:p>
          <w:p>
            <w:pPr>
              <w:pStyle w:val="7"/>
              <w:spacing w:before="117"/>
              <w:ind w:left="29"/>
              <w:jc w:val="center"/>
              <w:rPr>
                <w:sz w:val="14"/>
              </w:rPr>
            </w:pPr>
            <w:r>
              <w:rPr>
                <w:sz w:val="14"/>
              </w:rPr>
              <w:t>23</w:t>
            </w:r>
          </w:p>
        </w:tc>
        <w:tc>
          <w:tcPr>
            <w:tcW w:w="2124" w:type="dxa"/>
          </w:tcPr>
          <w:p>
            <w:pPr>
              <w:pStyle w:val="7"/>
              <w:spacing w:before="79"/>
              <w:ind w:left="30" w:right="60"/>
              <w:jc w:val="both"/>
              <w:rPr>
                <w:sz w:val="14"/>
              </w:rPr>
            </w:pPr>
            <w:r>
              <w:rPr>
                <w:sz w:val="14"/>
              </w:rPr>
              <w:t>对安排未经职业健康检查的劳动者、有职业禁忌的劳动者、未成年工或者孕期、哺乳期女职工从事接触职业病危害的作业或者禁忌作业的行为的处罚</w:t>
            </w:r>
          </w:p>
        </w:tc>
        <w:tc>
          <w:tcPr>
            <w:tcW w:w="840" w:type="dxa"/>
          </w:tcPr>
          <w:p>
            <w:pPr>
              <w:pStyle w:val="7"/>
              <w:rPr>
                <w:rFonts w:ascii="Times New Roman"/>
                <w:sz w:val="14"/>
              </w:rPr>
            </w:pPr>
          </w:p>
          <w:p>
            <w:pPr>
              <w:pStyle w:val="7"/>
              <w:rPr>
                <w:rFonts w:ascii="Times New Roman"/>
                <w:sz w:val="14"/>
              </w:rPr>
            </w:pPr>
          </w:p>
          <w:p>
            <w:pPr>
              <w:pStyle w:val="7"/>
              <w:spacing w:before="117"/>
              <w:ind w:left="24" w:right="1"/>
              <w:jc w:val="center"/>
              <w:rPr>
                <w:sz w:val="14"/>
              </w:rPr>
            </w:pPr>
            <w:r>
              <w:rPr>
                <w:sz w:val="14"/>
              </w:rPr>
              <w:t>行政处罚</w:t>
            </w:r>
          </w:p>
        </w:tc>
        <w:tc>
          <w:tcPr>
            <w:tcW w:w="10164" w:type="dxa"/>
          </w:tcPr>
          <w:p>
            <w:pPr>
              <w:pStyle w:val="7"/>
              <w:rPr>
                <w:rFonts w:ascii="Times New Roman"/>
                <w:sz w:val="14"/>
              </w:rPr>
            </w:pPr>
          </w:p>
          <w:p>
            <w:pPr>
              <w:pStyle w:val="7"/>
              <w:spacing w:before="98"/>
              <w:ind w:left="30" w:right="3"/>
              <w:jc w:val="both"/>
              <w:rPr>
                <w:sz w:val="14"/>
              </w:rPr>
            </w:pPr>
            <w:r>
              <w:rPr>
                <w:b/>
                <w:sz w:val="14"/>
              </w:rPr>
              <w:t xml:space="preserve">《中华人民共和国职业病防治法》第七十五条第一款第七项   </w:t>
            </w:r>
            <w:r>
              <w:rPr>
                <w:sz w:val="14"/>
              </w:rPr>
              <w:t>违反本法规定，有下列情形之一的，由卫生行政部门责令限期治理，并处五万元以上三十万元以下的罚款；情节严重的，责令停止产生职业病危害的作业，或者提请有关人民政府按照国务院规定的权限责令关闭：（七）安排未经职业健康检查的劳动者、有   职业禁忌的劳动者、未成年工或者孕期、哺乳期女职工从事接触职业病危害的作业或者禁忌作业的；</w:t>
            </w:r>
          </w:p>
        </w:tc>
        <w:tc>
          <w:tcPr>
            <w:tcW w:w="960" w:type="dxa"/>
          </w:tcPr>
          <w:p>
            <w:pPr>
              <w:pStyle w:val="7"/>
              <w:rPr>
                <w:rFonts w:ascii="Times New Roman"/>
                <w:sz w:val="14"/>
              </w:rPr>
            </w:pPr>
          </w:p>
          <w:p>
            <w:pPr>
              <w:pStyle w:val="7"/>
              <w:rPr>
                <w:rFonts w:ascii="Times New Roman"/>
                <w:sz w:val="14"/>
              </w:rPr>
            </w:pPr>
          </w:p>
          <w:p>
            <w:pPr>
              <w:pStyle w:val="7"/>
              <w:spacing w:before="117"/>
              <w:ind w:left="44" w:right="16"/>
              <w:jc w:val="center"/>
              <w:rPr>
                <w:sz w:val="14"/>
              </w:rPr>
            </w:pPr>
            <w:r>
              <w:rPr>
                <w:sz w:val="14"/>
              </w:rPr>
              <w:t>省卫健委</w:t>
            </w:r>
          </w:p>
        </w:tc>
        <w:tc>
          <w:tcPr>
            <w:tcW w:w="1140" w:type="dxa"/>
          </w:tcPr>
          <w:p>
            <w:pPr>
              <w:pStyle w:val="7"/>
              <w:rPr>
                <w:rFonts w:ascii="Times New Roman"/>
                <w:sz w:val="14"/>
              </w:rPr>
            </w:pPr>
          </w:p>
          <w:p>
            <w:pPr>
              <w:pStyle w:val="7"/>
              <w:spacing w:before="2"/>
              <w:rPr>
                <w:rFonts w:ascii="Times New Roman"/>
                <w:sz w:val="16"/>
              </w:rPr>
            </w:pPr>
          </w:p>
          <w:p>
            <w:pPr>
              <w:pStyle w:val="7"/>
              <w:ind w:left="30" w:right="84"/>
              <w:rPr>
                <w:sz w:val="14"/>
              </w:rPr>
            </w:pPr>
            <w:r>
              <w:rPr>
                <w:sz w:val="14"/>
              </w:rPr>
              <w:t>县级以上卫生行政部门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2" w:hRule="atLeast"/>
        </w:trPr>
        <w:tc>
          <w:tcPr>
            <w:tcW w:w="456" w:type="dxa"/>
          </w:tcPr>
          <w:p>
            <w:pPr>
              <w:pStyle w:val="7"/>
              <w:rPr>
                <w:rFonts w:ascii="Times New Roman"/>
                <w:sz w:val="14"/>
              </w:rPr>
            </w:pPr>
          </w:p>
          <w:p>
            <w:pPr>
              <w:pStyle w:val="7"/>
              <w:rPr>
                <w:rFonts w:ascii="Times New Roman"/>
                <w:sz w:val="14"/>
              </w:rPr>
            </w:pPr>
          </w:p>
          <w:p>
            <w:pPr>
              <w:pStyle w:val="7"/>
              <w:spacing w:before="3"/>
              <w:rPr>
                <w:rFonts w:ascii="Times New Roman"/>
                <w:sz w:val="14"/>
              </w:rPr>
            </w:pPr>
          </w:p>
          <w:p>
            <w:pPr>
              <w:pStyle w:val="7"/>
              <w:spacing w:before="1"/>
              <w:ind w:left="29"/>
              <w:jc w:val="center"/>
              <w:rPr>
                <w:sz w:val="14"/>
              </w:rPr>
            </w:pPr>
            <w:r>
              <w:rPr>
                <w:sz w:val="14"/>
              </w:rPr>
              <w:t>24</w:t>
            </w:r>
          </w:p>
        </w:tc>
        <w:tc>
          <w:tcPr>
            <w:tcW w:w="2124" w:type="dxa"/>
          </w:tcPr>
          <w:p>
            <w:pPr>
              <w:pStyle w:val="7"/>
              <w:rPr>
                <w:rFonts w:ascii="Times New Roman"/>
                <w:sz w:val="11"/>
              </w:rPr>
            </w:pPr>
          </w:p>
          <w:p>
            <w:pPr>
              <w:pStyle w:val="7"/>
              <w:ind w:left="30"/>
              <w:rPr>
                <w:sz w:val="14"/>
              </w:rPr>
            </w:pPr>
            <w:r>
              <w:rPr>
                <w:sz w:val="14"/>
              </w:rPr>
              <w:t>对从业人员安全培训的时间少于</w:t>
            </w:r>
          </w:p>
          <w:p>
            <w:pPr>
              <w:pStyle w:val="7"/>
              <w:spacing w:before="1"/>
              <w:ind w:left="30" w:right="60"/>
              <w:jc w:val="both"/>
              <w:rPr>
                <w:sz w:val="14"/>
              </w:rPr>
            </w:pPr>
            <w:r>
              <w:rPr>
                <w:sz w:val="14"/>
              </w:rPr>
              <w:t>《生产经营单位安全培训规定》或者有关标准规定的，相关人员未按规定重新参加安全培训的行为的处罚</w:t>
            </w:r>
          </w:p>
        </w:tc>
        <w:tc>
          <w:tcPr>
            <w:tcW w:w="840" w:type="dxa"/>
          </w:tcPr>
          <w:p>
            <w:pPr>
              <w:pStyle w:val="7"/>
              <w:rPr>
                <w:rFonts w:ascii="Times New Roman"/>
                <w:sz w:val="14"/>
              </w:rPr>
            </w:pPr>
          </w:p>
          <w:p>
            <w:pPr>
              <w:pStyle w:val="7"/>
              <w:rPr>
                <w:rFonts w:ascii="Times New Roman"/>
                <w:sz w:val="14"/>
              </w:rPr>
            </w:pPr>
          </w:p>
          <w:p>
            <w:pPr>
              <w:pStyle w:val="7"/>
              <w:spacing w:before="3"/>
              <w:rPr>
                <w:rFonts w:ascii="Times New Roman"/>
                <w:sz w:val="14"/>
              </w:rPr>
            </w:pPr>
          </w:p>
          <w:p>
            <w:pPr>
              <w:pStyle w:val="7"/>
              <w:spacing w:before="1"/>
              <w:ind w:left="24" w:right="1"/>
              <w:jc w:val="center"/>
              <w:rPr>
                <w:sz w:val="14"/>
              </w:rPr>
            </w:pPr>
            <w:r>
              <w:rPr>
                <w:sz w:val="14"/>
              </w:rPr>
              <w:t>行政处罚</w:t>
            </w:r>
          </w:p>
        </w:tc>
        <w:tc>
          <w:tcPr>
            <w:tcW w:w="10164" w:type="dxa"/>
          </w:tcPr>
          <w:p>
            <w:pPr>
              <w:pStyle w:val="7"/>
              <w:rPr>
                <w:rFonts w:ascii="Times New Roman"/>
                <w:sz w:val="14"/>
              </w:rPr>
            </w:pPr>
          </w:p>
          <w:p>
            <w:pPr>
              <w:pStyle w:val="7"/>
              <w:spacing w:before="7"/>
              <w:rPr>
                <w:rFonts w:ascii="Times New Roman"/>
                <w:sz w:val="12"/>
              </w:rPr>
            </w:pPr>
          </w:p>
          <w:p>
            <w:pPr>
              <w:pStyle w:val="7"/>
              <w:spacing w:before="1"/>
              <w:ind w:left="30" w:right="2"/>
              <w:jc w:val="both"/>
              <w:rPr>
                <w:sz w:val="14"/>
              </w:rPr>
            </w:pPr>
            <w:r>
              <w:rPr>
                <w:b/>
                <w:sz w:val="14"/>
              </w:rPr>
              <w:t xml:space="preserve">《安全生产培训管理办法》（2012年国家安全监管总局令第44号，2015年修正）第三十六条第一款第一项、第三项   </w:t>
            </w:r>
            <w:r>
              <w:rPr>
                <w:sz w:val="14"/>
              </w:rPr>
              <w:t>生产经营单位有下列情形之一的，责令改正，处3万元以下的罚款：（一）从业人员安全培训的时间少于《生产经营单位安全培训规定》或者有关标准规定的；（三）相关人员未按照本办法第十二条规    定重新参加安全培训的。</w:t>
            </w:r>
          </w:p>
        </w:tc>
        <w:tc>
          <w:tcPr>
            <w:tcW w:w="960" w:type="dxa"/>
          </w:tcPr>
          <w:p>
            <w:pPr>
              <w:pStyle w:val="7"/>
              <w:rPr>
                <w:rFonts w:ascii="Times New Roman"/>
                <w:sz w:val="14"/>
              </w:rPr>
            </w:pPr>
          </w:p>
          <w:p>
            <w:pPr>
              <w:pStyle w:val="7"/>
              <w:rPr>
                <w:rFonts w:ascii="Times New Roman"/>
                <w:sz w:val="14"/>
              </w:rPr>
            </w:pPr>
          </w:p>
          <w:p>
            <w:pPr>
              <w:pStyle w:val="7"/>
              <w:spacing w:before="3"/>
              <w:rPr>
                <w:rFonts w:ascii="Times New Roman"/>
                <w:sz w:val="14"/>
              </w:rPr>
            </w:pPr>
          </w:p>
          <w:p>
            <w:pPr>
              <w:pStyle w:val="7"/>
              <w:spacing w:before="1"/>
              <w:ind w:left="44" w:right="16"/>
              <w:jc w:val="center"/>
              <w:rPr>
                <w:sz w:val="14"/>
              </w:rPr>
            </w:pPr>
            <w:r>
              <w:rPr>
                <w:sz w:val="14"/>
              </w:rPr>
              <w:t>省应急管理厅</w:t>
            </w:r>
          </w:p>
        </w:tc>
        <w:tc>
          <w:tcPr>
            <w:tcW w:w="1140" w:type="dxa"/>
          </w:tcPr>
          <w:p>
            <w:pPr>
              <w:pStyle w:val="7"/>
              <w:rPr>
                <w:rFonts w:ascii="Times New Roman"/>
                <w:sz w:val="14"/>
              </w:rPr>
            </w:pPr>
          </w:p>
          <w:p>
            <w:pPr>
              <w:pStyle w:val="7"/>
              <w:spacing w:before="4"/>
              <w:rPr>
                <w:rFonts w:ascii="Times New Roman"/>
                <w:sz w:val="20"/>
              </w:rPr>
            </w:pPr>
          </w:p>
          <w:p>
            <w:pPr>
              <w:pStyle w:val="7"/>
              <w:ind w:left="30" w:right="84"/>
              <w:rPr>
                <w:sz w:val="14"/>
              </w:rPr>
            </w:pPr>
            <w:r>
              <w:rPr>
                <w:sz w:val="14"/>
              </w:rPr>
              <w:t>县级以上应急管理部门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8" w:hRule="atLeast"/>
        </w:trPr>
        <w:tc>
          <w:tcPr>
            <w:tcW w:w="456" w:type="dxa"/>
          </w:tcPr>
          <w:p>
            <w:pPr>
              <w:pStyle w:val="7"/>
              <w:rPr>
                <w:rFonts w:ascii="Times New Roman"/>
                <w:sz w:val="14"/>
              </w:rPr>
            </w:pPr>
          </w:p>
          <w:p>
            <w:pPr>
              <w:pStyle w:val="7"/>
              <w:rPr>
                <w:rFonts w:ascii="Times New Roman"/>
                <w:sz w:val="14"/>
              </w:rPr>
            </w:pPr>
          </w:p>
          <w:p>
            <w:pPr>
              <w:pStyle w:val="7"/>
              <w:spacing w:before="1"/>
              <w:rPr>
                <w:rFonts w:ascii="Times New Roman"/>
                <w:sz w:val="18"/>
              </w:rPr>
            </w:pPr>
          </w:p>
          <w:p>
            <w:pPr>
              <w:pStyle w:val="7"/>
              <w:ind w:left="29"/>
              <w:jc w:val="center"/>
              <w:rPr>
                <w:sz w:val="14"/>
              </w:rPr>
            </w:pPr>
            <w:r>
              <w:rPr>
                <w:sz w:val="14"/>
              </w:rPr>
              <w:t>25</w:t>
            </w:r>
          </w:p>
        </w:tc>
        <w:tc>
          <w:tcPr>
            <w:tcW w:w="2124" w:type="dxa"/>
          </w:tcPr>
          <w:p>
            <w:pPr>
              <w:pStyle w:val="7"/>
              <w:spacing w:before="79"/>
              <w:ind w:left="30" w:right="60"/>
              <w:jc w:val="both"/>
              <w:rPr>
                <w:sz w:val="14"/>
              </w:rPr>
            </w:pPr>
            <w:r>
              <w:rPr>
                <w:sz w:val="14"/>
              </w:rPr>
              <w:t>对知道或者应当知道生产经营单位未取得安全生产许可证或者其他批准文件擅自从事生产经营活动，仍为其提供生产经营场所、运输、保管、仓储等条件的行为的处罚</w:t>
            </w:r>
          </w:p>
        </w:tc>
        <w:tc>
          <w:tcPr>
            <w:tcW w:w="840" w:type="dxa"/>
          </w:tcPr>
          <w:p>
            <w:pPr>
              <w:pStyle w:val="7"/>
              <w:rPr>
                <w:rFonts w:ascii="Times New Roman"/>
                <w:sz w:val="14"/>
              </w:rPr>
            </w:pPr>
          </w:p>
          <w:p>
            <w:pPr>
              <w:pStyle w:val="7"/>
              <w:rPr>
                <w:rFonts w:ascii="Times New Roman"/>
                <w:sz w:val="14"/>
              </w:rPr>
            </w:pPr>
          </w:p>
          <w:p>
            <w:pPr>
              <w:pStyle w:val="7"/>
              <w:spacing w:before="1"/>
              <w:rPr>
                <w:rFonts w:ascii="Times New Roman"/>
                <w:sz w:val="18"/>
              </w:rPr>
            </w:pPr>
          </w:p>
          <w:p>
            <w:pPr>
              <w:pStyle w:val="7"/>
              <w:ind w:left="24" w:right="1"/>
              <w:jc w:val="center"/>
              <w:rPr>
                <w:sz w:val="14"/>
              </w:rPr>
            </w:pPr>
            <w:r>
              <w:rPr>
                <w:sz w:val="14"/>
              </w:rPr>
              <w:t>行政处罚</w:t>
            </w:r>
          </w:p>
        </w:tc>
        <w:tc>
          <w:tcPr>
            <w:tcW w:w="10164" w:type="dxa"/>
          </w:tcPr>
          <w:p>
            <w:pPr>
              <w:pStyle w:val="7"/>
              <w:rPr>
                <w:rFonts w:ascii="Times New Roman"/>
                <w:sz w:val="14"/>
              </w:rPr>
            </w:pPr>
          </w:p>
          <w:p>
            <w:pPr>
              <w:pStyle w:val="7"/>
              <w:spacing w:before="5"/>
              <w:rPr>
                <w:rFonts w:ascii="Times New Roman"/>
                <w:sz w:val="16"/>
              </w:rPr>
            </w:pPr>
          </w:p>
          <w:p>
            <w:pPr>
              <w:pStyle w:val="7"/>
              <w:ind w:left="30" w:right="2"/>
              <w:jc w:val="both"/>
              <w:rPr>
                <w:sz w:val="14"/>
              </w:rPr>
            </w:pPr>
            <w:r>
              <w:rPr>
                <w:b/>
                <w:sz w:val="14"/>
              </w:rPr>
              <w:t xml:space="preserve">《安全生产违法行为行政处罚办法》（2007年国家安全监管总局令第15号，2015年修正）第五十条   </w:t>
            </w:r>
            <w:r>
              <w:rPr>
                <w:sz w:val="14"/>
              </w:rPr>
              <w:t>知道或者应当知道生产经营单位未取得安全生产许可证或者其他批准文件擅自从事生产经营活动，仍为其提供生产经营场所、运输、保管、仓储等条件的，责令立即停止违法行为，有违法所得的，没收违法所得，并处   违法所得1倍以上3倍以下的罚款，但是最高不得超过3万元；没有违法所得的，并处5000元以上1万元以下的罚款。</w:t>
            </w:r>
          </w:p>
        </w:tc>
        <w:tc>
          <w:tcPr>
            <w:tcW w:w="960" w:type="dxa"/>
          </w:tcPr>
          <w:p>
            <w:pPr>
              <w:pStyle w:val="7"/>
              <w:rPr>
                <w:rFonts w:ascii="Times New Roman"/>
                <w:sz w:val="14"/>
              </w:rPr>
            </w:pPr>
          </w:p>
          <w:p>
            <w:pPr>
              <w:pStyle w:val="7"/>
              <w:rPr>
                <w:rFonts w:ascii="Times New Roman"/>
                <w:sz w:val="14"/>
              </w:rPr>
            </w:pPr>
          </w:p>
          <w:p>
            <w:pPr>
              <w:pStyle w:val="7"/>
              <w:spacing w:before="1"/>
              <w:rPr>
                <w:rFonts w:ascii="Times New Roman"/>
                <w:sz w:val="18"/>
              </w:rPr>
            </w:pPr>
          </w:p>
          <w:p>
            <w:pPr>
              <w:pStyle w:val="7"/>
              <w:ind w:left="44" w:right="16"/>
              <w:jc w:val="center"/>
              <w:rPr>
                <w:sz w:val="14"/>
              </w:rPr>
            </w:pPr>
            <w:r>
              <w:rPr>
                <w:sz w:val="14"/>
              </w:rPr>
              <w:t>省应急管理厅</w:t>
            </w:r>
          </w:p>
        </w:tc>
        <w:tc>
          <w:tcPr>
            <w:tcW w:w="1140" w:type="dxa"/>
          </w:tcPr>
          <w:p>
            <w:pPr>
              <w:pStyle w:val="7"/>
              <w:rPr>
                <w:rFonts w:ascii="Times New Roman"/>
                <w:sz w:val="14"/>
              </w:rPr>
            </w:pPr>
          </w:p>
          <w:p>
            <w:pPr>
              <w:pStyle w:val="7"/>
              <w:rPr>
                <w:rFonts w:ascii="Times New Roman"/>
                <w:sz w:val="14"/>
              </w:rPr>
            </w:pPr>
          </w:p>
          <w:p>
            <w:pPr>
              <w:pStyle w:val="7"/>
              <w:spacing w:before="117"/>
              <w:ind w:left="30" w:right="84"/>
              <w:rPr>
                <w:sz w:val="14"/>
              </w:rPr>
            </w:pPr>
            <w:r>
              <w:rPr>
                <w:sz w:val="14"/>
              </w:rPr>
              <w:t>县级以上应急管理部门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2" w:hRule="atLeast"/>
        </w:trPr>
        <w:tc>
          <w:tcPr>
            <w:tcW w:w="456" w:type="dxa"/>
          </w:tcPr>
          <w:p>
            <w:pPr>
              <w:pStyle w:val="7"/>
              <w:rPr>
                <w:rFonts w:ascii="Times New Roman"/>
                <w:sz w:val="14"/>
              </w:rPr>
            </w:pPr>
          </w:p>
          <w:p>
            <w:pPr>
              <w:pStyle w:val="7"/>
              <w:rPr>
                <w:rFonts w:ascii="Times New Roman"/>
                <w:sz w:val="14"/>
              </w:rPr>
            </w:pPr>
          </w:p>
          <w:p>
            <w:pPr>
              <w:pStyle w:val="7"/>
              <w:spacing w:before="3"/>
              <w:rPr>
                <w:rFonts w:ascii="Times New Roman"/>
                <w:sz w:val="14"/>
              </w:rPr>
            </w:pPr>
          </w:p>
          <w:p>
            <w:pPr>
              <w:pStyle w:val="7"/>
              <w:spacing w:before="1"/>
              <w:ind w:left="29"/>
              <w:jc w:val="center"/>
              <w:rPr>
                <w:sz w:val="14"/>
              </w:rPr>
            </w:pPr>
            <w:r>
              <w:rPr>
                <w:sz w:val="14"/>
              </w:rPr>
              <w:t>26</w:t>
            </w:r>
          </w:p>
        </w:tc>
        <w:tc>
          <w:tcPr>
            <w:tcW w:w="2124" w:type="dxa"/>
          </w:tcPr>
          <w:p>
            <w:pPr>
              <w:pStyle w:val="7"/>
              <w:rPr>
                <w:rFonts w:ascii="Times New Roman"/>
                <w:sz w:val="11"/>
              </w:rPr>
            </w:pPr>
          </w:p>
          <w:p>
            <w:pPr>
              <w:pStyle w:val="7"/>
              <w:ind w:left="30" w:right="60"/>
              <w:jc w:val="both"/>
              <w:rPr>
                <w:sz w:val="14"/>
              </w:rPr>
            </w:pPr>
            <w:r>
              <w:rPr>
                <w:sz w:val="14"/>
              </w:rPr>
              <w:t>对生产、经营、储存、使用危险物品的车间、商店、仓库与员工宿舍在同一座建筑内，或者与员工宿舍的距离不符合安全要求的行为的处罚</w:t>
            </w:r>
          </w:p>
        </w:tc>
        <w:tc>
          <w:tcPr>
            <w:tcW w:w="840" w:type="dxa"/>
          </w:tcPr>
          <w:p>
            <w:pPr>
              <w:pStyle w:val="7"/>
              <w:rPr>
                <w:rFonts w:ascii="Times New Roman"/>
                <w:sz w:val="14"/>
              </w:rPr>
            </w:pPr>
          </w:p>
          <w:p>
            <w:pPr>
              <w:pStyle w:val="7"/>
              <w:rPr>
                <w:rFonts w:ascii="Times New Roman"/>
                <w:sz w:val="14"/>
              </w:rPr>
            </w:pPr>
          </w:p>
          <w:p>
            <w:pPr>
              <w:pStyle w:val="7"/>
              <w:spacing w:before="3"/>
              <w:rPr>
                <w:rFonts w:ascii="Times New Roman"/>
                <w:sz w:val="14"/>
              </w:rPr>
            </w:pPr>
          </w:p>
          <w:p>
            <w:pPr>
              <w:pStyle w:val="7"/>
              <w:spacing w:before="1"/>
              <w:ind w:left="24" w:right="1"/>
              <w:jc w:val="center"/>
              <w:rPr>
                <w:sz w:val="14"/>
              </w:rPr>
            </w:pPr>
            <w:r>
              <w:rPr>
                <w:sz w:val="14"/>
              </w:rPr>
              <w:t>行政处罚</w:t>
            </w:r>
          </w:p>
        </w:tc>
        <w:tc>
          <w:tcPr>
            <w:tcW w:w="10164" w:type="dxa"/>
          </w:tcPr>
          <w:p>
            <w:pPr>
              <w:pStyle w:val="7"/>
              <w:rPr>
                <w:rFonts w:ascii="Times New Roman"/>
                <w:sz w:val="14"/>
              </w:rPr>
            </w:pPr>
          </w:p>
          <w:p>
            <w:pPr>
              <w:pStyle w:val="7"/>
              <w:spacing w:before="7"/>
              <w:rPr>
                <w:rFonts w:ascii="Times New Roman"/>
                <w:sz w:val="12"/>
              </w:rPr>
            </w:pPr>
          </w:p>
          <w:p>
            <w:pPr>
              <w:pStyle w:val="7"/>
              <w:spacing w:before="1"/>
              <w:ind w:left="30" w:right="3"/>
              <w:rPr>
                <w:sz w:val="14"/>
              </w:rPr>
            </w:pPr>
            <w:r>
              <w:rPr>
                <w:b/>
                <w:sz w:val="14"/>
              </w:rPr>
              <w:t xml:space="preserve">《中华人民共和国安全生产法》第一百零五条第一款第一项   </w:t>
            </w:r>
            <w:r>
              <w:rPr>
                <w:sz w:val="14"/>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pStyle w:val="7"/>
              <w:spacing w:before="1"/>
              <w:ind w:left="30"/>
              <w:rPr>
                <w:sz w:val="14"/>
              </w:rPr>
            </w:pPr>
            <w:r>
              <w:rPr>
                <w:sz w:val="14"/>
              </w:rPr>
              <w:t>（一）生产、经营、储存、使用危险物品的车间、商店、仓库与员工宿舍在同一座建筑内，或者与员工宿舍的距离不符合安全要求的；</w:t>
            </w:r>
          </w:p>
        </w:tc>
        <w:tc>
          <w:tcPr>
            <w:tcW w:w="960" w:type="dxa"/>
          </w:tcPr>
          <w:p>
            <w:pPr>
              <w:pStyle w:val="7"/>
              <w:rPr>
                <w:rFonts w:ascii="Times New Roman"/>
                <w:sz w:val="14"/>
              </w:rPr>
            </w:pPr>
          </w:p>
          <w:p>
            <w:pPr>
              <w:pStyle w:val="7"/>
              <w:rPr>
                <w:rFonts w:ascii="Times New Roman"/>
                <w:sz w:val="14"/>
              </w:rPr>
            </w:pPr>
          </w:p>
          <w:p>
            <w:pPr>
              <w:pStyle w:val="7"/>
              <w:spacing w:before="3"/>
              <w:rPr>
                <w:rFonts w:ascii="Times New Roman"/>
                <w:sz w:val="14"/>
              </w:rPr>
            </w:pPr>
          </w:p>
          <w:p>
            <w:pPr>
              <w:pStyle w:val="7"/>
              <w:spacing w:before="1"/>
              <w:ind w:left="44" w:right="16"/>
              <w:jc w:val="center"/>
              <w:rPr>
                <w:sz w:val="14"/>
              </w:rPr>
            </w:pPr>
            <w:r>
              <w:rPr>
                <w:sz w:val="14"/>
              </w:rPr>
              <w:t>省应急管理厅</w:t>
            </w:r>
          </w:p>
        </w:tc>
        <w:tc>
          <w:tcPr>
            <w:tcW w:w="1140" w:type="dxa"/>
          </w:tcPr>
          <w:p>
            <w:pPr>
              <w:pStyle w:val="7"/>
              <w:rPr>
                <w:rFonts w:ascii="Times New Roman"/>
                <w:sz w:val="14"/>
              </w:rPr>
            </w:pPr>
          </w:p>
          <w:p>
            <w:pPr>
              <w:pStyle w:val="7"/>
              <w:spacing w:before="4"/>
              <w:rPr>
                <w:rFonts w:ascii="Times New Roman"/>
                <w:sz w:val="20"/>
              </w:rPr>
            </w:pPr>
          </w:p>
          <w:p>
            <w:pPr>
              <w:pStyle w:val="7"/>
              <w:ind w:left="30" w:right="84"/>
              <w:rPr>
                <w:sz w:val="14"/>
              </w:rPr>
            </w:pPr>
            <w:r>
              <w:rPr>
                <w:sz w:val="14"/>
              </w:rPr>
              <w:t>县级以上应急管理部门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2" w:hRule="atLeast"/>
        </w:trPr>
        <w:tc>
          <w:tcPr>
            <w:tcW w:w="456" w:type="dxa"/>
          </w:tcPr>
          <w:p>
            <w:pPr>
              <w:pStyle w:val="7"/>
              <w:rPr>
                <w:rFonts w:ascii="Times New Roman"/>
                <w:sz w:val="14"/>
              </w:rPr>
            </w:pPr>
          </w:p>
          <w:p>
            <w:pPr>
              <w:pStyle w:val="7"/>
              <w:rPr>
                <w:rFonts w:ascii="Times New Roman"/>
                <w:sz w:val="14"/>
              </w:rPr>
            </w:pPr>
          </w:p>
          <w:p>
            <w:pPr>
              <w:pStyle w:val="7"/>
              <w:spacing w:before="4"/>
              <w:rPr>
                <w:rFonts w:ascii="Times New Roman"/>
                <w:sz w:val="16"/>
              </w:rPr>
            </w:pPr>
          </w:p>
          <w:p>
            <w:pPr>
              <w:pStyle w:val="7"/>
              <w:spacing w:before="1"/>
              <w:ind w:left="29"/>
              <w:jc w:val="center"/>
              <w:rPr>
                <w:sz w:val="14"/>
              </w:rPr>
            </w:pPr>
            <w:r>
              <w:rPr>
                <w:sz w:val="14"/>
              </w:rPr>
              <w:t>27</w:t>
            </w:r>
          </w:p>
        </w:tc>
        <w:tc>
          <w:tcPr>
            <w:tcW w:w="2124" w:type="dxa"/>
          </w:tcPr>
          <w:p>
            <w:pPr>
              <w:pStyle w:val="7"/>
              <w:spacing w:before="62"/>
              <w:ind w:left="30" w:right="60"/>
              <w:jc w:val="both"/>
              <w:rPr>
                <w:sz w:val="14"/>
              </w:rPr>
            </w:pPr>
            <w:r>
              <w:rPr>
                <w:sz w:val="14"/>
              </w:rPr>
              <w:t>对生产经营场所和员工宿舍未设有符合紧急疏散需要、标志明显</w:t>
            </w:r>
          </w:p>
          <w:p>
            <w:pPr>
              <w:pStyle w:val="7"/>
              <w:spacing w:before="1"/>
              <w:ind w:left="30" w:right="60"/>
              <w:jc w:val="both"/>
              <w:rPr>
                <w:sz w:val="14"/>
              </w:rPr>
            </w:pPr>
            <w:r>
              <w:rPr>
                <w:sz w:val="14"/>
              </w:rPr>
              <w:t>、保持畅通的出口、疏散通道， 或者占用、锁闭、封堵生产经营场所或者员工宿舍出口、疏散通道的行为的处罚</w:t>
            </w:r>
          </w:p>
        </w:tc>
        <w:tc>
          <w:tcPr>
            <w:tcW w:w="840" w:type="dxa"/>
          </w:tcPr>
          <w:p>
            <w:pPr>
              <w:pStyle w:val="7"/>
              <w:rPr>
                <w:rFonts w:ascii="Times New Roman"/>
                <w:sz w:val="14"/>
              </w:rPr>
            </w:pPr>
          </w:p>
          <w:p>
            <w:pPr>
              <w:pStyle w:val="7"/>
              <w:rPr>
                <w:rFonts w:ascii="Times New Roman"/>
                <w:sz w:val="14"/>
              </w:rPr>
            </w:pPr>
          </w:p>
          <w:p>
            <w:pPr>
              <w:pStyle w:val="7"/>
              <w:spacing w:before="4"/>
              <w:rPr>
                <w:rFonts w:ascii="Times New Roman"/>
                <w:sz w:val="16"/>
              </w:rPr>
            </w:pPr>
          </w:p>
          <w:p>
            <w:pPr>
              <w:pStyle w:val="7"/>
              <w:spacing w:before="1"/>
              <w:ind w:left="24" w:right="1"/>
              <w:jc w:val="center"/>
              <w:rPr>
                <w:sz w:val="14"/>
              </w:rPr>
            </w:pPr>
            <w:r>
              <w:rPr>
                <w:sz w:val="14"/>
              </w:rPr>
              <w:t>行政处罚</w:t>
            </w:r>
          </w:p>
        </w:tc>
        <w:tc>
          <w:tcPr>
            <w:tcW w:w="10164" w:type="dxa"/>
          </w:tcPr>
          <w:p>
            <w:pPr>
              <w:pStyle w:val="7"/>
              <w:rPr>
                <w:rFonts w:ascii="Times New Roman"/>
                <w:sz w:val="14"/>
              </w:rPr>
            </w:pPr>
          </w:p>
          <w:p>
            <w:pPr>
              <w:pStyle w:val="7"/>
              <w:spacing w:before="81"/>
              <w:ind w:left="30" w:right="3"/>
              <w:rPr>
                <w:sz w:val="14"/>
              </w:rPr>
            </w:pPr>
            <w:r>
              <w:rPr>
                <w:b/>
                <w:sz w:val="14"/>
              </w:rPr>
              <w:t xml:space="preserve">《中华人民共和国安全生产法》第一百零五条第一款第二项   </w:t>
            </w:r>
            <w:r>
              <w:rPr>
                <w:sz w:val="14"/>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pStyle w:val="7"/>
              <w:spacing w:before="1"/>
              <w:ind w:left="30" w:right="3"/>
              <w:rPr>
                <w:sz w:val="14"/>
              </w:rPr>
            </w:pPr>
            <w:r>
              <w:rPr>
                <w:sz w:val="14"/>
              </w:rPr>
              <w:t>（二）生产经营场所和员工宿舍未设有符合紧急疏散需要、标志明显、保持畅通的出口、疏散通道，或者占用、锁闭、封堵生产经营场所或者员工宿舍出口、疏   散通道的。</w:t>
            </w:r>
          </w:p>
        </w:tc>
        <w:tc>
          <w:tcPr>
            <w:tcW w:w="960" w:type="dxa"/>
          </w:tcPr>
          <w:p>
            <w:pPr>
              <w:pStyle w:val="7"/>
              <w:rPr>
                <w:rFonts w:ascii="Times New Roman"/>
                <w:sz w:val="14"/>
              </w:rPr>
            </w:pPr>
          </w:p>
          <w:p>
            <w:pPr>
              <w:pStyle w:val="7"/>
              <w:rPr>
                <w:rFonts w:ascii="Times New Roman"/>
                <w:sz w:val="14"/>
              </w:rPr>
            </w:pPr>
          </w:p>
          <w:p>
            <w:pPr>
              <w:pStyle w:val="7"/>
              <w:spacing w:before="4"/>
              <w:rPr>
                <w:rFonts w:ascii="Times New Roman"/>
                <w:sz w:val="16"/>
              </w:rPr>
            </w:pPr>
          </w:p>
          <w:p>
            <w:pPr>
              <w:pStyle w:val="7"/>
              <w:spacing w:before="1"/>
              <w:ind w:left="44" w:right="16"/>
              <w:jc w:val="center"/>
              <w:rPr>
                <w:sz w:val="14"/>
              </w:rPr>
            </w:pPr>
            <w:r>
              <w:rPr>
                <w:sz w:val="14"/>
              </w:rPr>
              <w:t>省应急管理厅</w:t>
            </w:r>
          </w:p>
        </w:tc>
        <w:tc>
          <w:tcPr>
            <w:tcW w:w="1140" w:type="dxa"/>
          </w:tcPr>
          <w:p>
            <w:pPr>
              <w:pStyle w:val="7"/>
              <w:rPr>
                <w:rFonts w:ascii="Times New Roman"/>
                <w:sz w:val="14"/>
              </w:rPr>
            </w:pPr>
          </w:p>
          <w:p>
            <w:pPr>
              <w:pStyle w:val="7"/>
              <w:rPr>
                <w:rFonts w:ascii="Times New Roman"/>
                <w:sz w:val="14"/>
              </w:rPr>
            </w:pPr>
          </w:p>
          <w:p>
            <w:pPr>
              <w:pStyle w:val="7"/>
              <w:spacing w:before="100"/>
              <w:ind w:left="30" w:right="84"/>
              <w:rPr>
                <w:sz w:val="14"/>
              </w:rPr>
            </w:pPr>
            <w:r>
              <w:rPr>
                <w:sz w:val="14"/>
              </w:rPr>
              <w:t>县级以上应急管理部门</w:t>
            </w:r>
          </w:p>
        </w:tc>
      </w:tr>
    </w:tbl>
    <w:p>
      <w:pPr>
        <w:spacing w:after="0"/>
        <w:rPr>
          <w:sz w:val="14"/>
        </w:rPr>
        <w:sectPr>
          <w:pgSz w:w="16840" w:h="11910" w:orient="landscape"/>
          <w:pgMar w:top="1100" w:right="460" w:bottom="620" w:left="460" w:header="0" w:footer="437" w:gutter="0"/>
          <w:cols w:space="720" w:num="1"/>
        </w:sectPr>
      </w:pPr>
    </w:p>
    <w:p>
      <w:pPr>
        <w:pStyle w:val="2"/>
        <w:rPr>
          <w:rFonts w:ascii="Times New Roman"/>
          <w:sz w:val="20"/>
        </w:rPr>
      </w:pPr>
    </w:p>
    <w:p>
      <w:pPr>
        <w:pStyle w:val="2"/>
        <w:spacing w:before="5"/>
        <w:rPr>
          <w:rFonts w:ascii="Times New Roman"/>
          <w:sz w:val="16"/>
        </w:rPr>
      </w:pPr>
    </w:p>
    <w:tbl>
      <w:tblPr>
        <w:tblStyle w:val="3"/>
        <w:tblW w:w="0" w:type="auto"/>
        <w:tblInd w:w="1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6"/>
        <w:gridCol w:w="2124"/>
        <w:gridCol w:w="840"/>
        <w:gridCol w:w="10164"/>
        <w:gridCol w:w="960"/>
        <w:gridCol w:w="11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456" w:type="dxa"/>
          </w:tcPr>
          <w:p>
            <w:pPr>
              <w:pStyle w:val="7"/>
              <w:spacing w:before="113"/>
              <w:ind w:left="28"/>
              <w:jc w:val="center"/>
              <w:rPr>
                <w:rFonts w:hint="eastAsia" w:ascii="黑体" w:eastAsia="黑体"/>
                <w:sz w:val="19"/>
              </w:rPr>
            </w:pPr>
            <w:r>
              <w:rPr>
                <w:rFonts w:hint="eastAsia" w:ascii="黑体" w:eastAsia="黑体"/>
                <w:sz w:val="19"/>
              </w:rPr>
              <w:t>序号</w:t>
            </w:r>
          </w:p>
        </w:tc>
        <w:tc>
          <w:tcPr>
            <w:tcW w:w="2124" w:type="dxa"/>
          </w:tcPr>
          <w:p>
            <w:pPr>
              <w:pStyle w:val="7"/>
              <w:spacing w:before="113"/>
              <w:ind w:left="39" w:right="14"/>
              <w:jc w:val="center"/>
              <w:rPr>
                <w:rFonts w:hint="eastAsia" w:ascii="黑体" w:eastAsia="黑体"/>
                <w:sz w:val="19"/>
              </w:rPr>
            </w:pPr>
            <w:r>
              <w:rPr>
                <w:rFonts w:hint="eastAsia" w:ascii="黑体" w:eastAsia="黑体"/>
                <w:sz w:val="19"/>
              </w:rPr>
              <w:t>职权名称</w:t>
            </w:r>
          </w:p>
        </w:tc>
        <w:tc>
          <w:tcPr>
            <w:tcW w:w="840" w:type="dxa"/>
          </w:tcPr>
          <w:p>
            <w:pPr>
              <w:pStyle w:val="7"/>
              <w:spacing w:before="113"/>
              <w:ind w:left="24" w:right="1"/>
              <w:jc w:val="center"/>
              <w:rPr>
                <w:rFonts w:hint="eastAsia" w:ascii="黑体" w:eastAsia="黑体"/>
                <w:sz w:val="19"/>
              </w:rPr>
            </w:pPr>
            <w:r>
              <w:rPr>
                <w:rFonts w:hint="eastAsia" w:ascii="黑体" w:eastAsia="黑体"/>
                <w:sz w:val="19"/>
              </w:rPr>
              <w:t>职权类型</w:t>
            </w:r>
          </w:p>
        </w:tc>
        <w:tc>
          <w:tcPr>
            <w:tcW w:w="10164" w:type="dxa"/>
          </w:tcPr>
          <w:p>
            <w:pPr>
              <w:pStyle w:val="7"/>
              <w:spacing w:before="113"/>
              <w:ind w:left="4687" w:right="4662"/>
              <w:jc w:val="center"/>
              <w:rPr>
                <w:rFonts w:hint="eastAsia" w:ascii="黑体" w:eastAsia="黑体"/>
                <w:sz w:val="19"/>
              </w:rPr>
            </w:pPr>
            <w:r>
              <w:rPr>
                <w:rFonts w:hint="eastAsia" w:ascii="黑体" w:eastAsia="黑体"/>
                <w:sz w:val="19"/>
              </w:rPr>
              <w:t>职权依据</w:t>
            </w:r>
          </w:p>
        </w:tc>
        <w:tc>
          <w:tcPr>
            <w:tcW w:w="960" w:type="dxa"/>
          </w:tcPr>
          <w:p>
            <w:pPr>
              <w:pStyle w:val="7"/>
              <w:spacing w:before="113"/>
              <w:ind w:left="41" w:right="18"/>
              <w:jc w:val="center"/>
              <w:rPr>
                <w:rFonts w:hint="eastAsia" w:ascii="黑体" w:eastAsia="黑体"/>
                <w:sz w:val="19"/>
              </w:rPr>
            </w:pPr>
            <w:r>
              <w:rPr>
                <w:rFonts w:hint="eastAsia" w:ascii="黑体" w:eastAsia="黑体"/>
                <w:sz w:val="19"/>
              </w:rPr>
              <w:t>主管部门</w:t>
            </w:r>
          </w:p>
        </w:tc>
        <w:tc>
          <w:tcPr>
            <w:tcW w:w="1140" w:type="dxa"/>
          </w:tcPr>
          <w:p>
            <w:pPr>
              <w:pStyle w:val="7"/>
              <w:spacing w:before="113"/>
              <w:ind w:left="95"/>
              <w:rPr>
                <w:rFonts w:hint="eastAsia" w:ascii="黑体" w:eastAsia="黑体"/>
                <w:sz w:val="19"/>
              </w:rPr>
            </w:pPr>
            <w:r>
              <w:rPr>
                <w:rFonts w:hint="eastAsia" w:ascii="黑体" w:eastAsia="黑体"/>
                <w:sz w:val="19"/>
              </w:rPr>
              <w:t>原实施主体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90" w:hRule="atLeast"/>
        </w:trPr>
        <w:tc>
          <w:tcPr>
            <w:tcW w:w="4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9"/>
              </w:rPr>
            </w:pPr>
          </w:p>
          <w:p>
            <w:pPr>
              <w:pStyle w:val="7"/>
              <w:ind w:left="29"/>
              <w:jc w:val="center"/>
              <w:rPr>
                <w:sz w:val="14"/>
              </w:rPr>
            </w:pPr>
            <w:r>
              <w:rPr>
                <w:sz w:val="14"/>
              </w:rPr>
              <w:t>28</w:t>
            </w:r>
          </w:p>
        </w:tc>
        <w:tc>
          <w:tcPr>
            <w:tcW w:w="2124" w:type="dxa"/>
          </w:tcPr>
          <w:p>
            <w:pPr>
              <w:pStyle w:val="7"/>
              <w:rPr>
                <w:rFonts w:ascii="Times New Roman"/>
                <w:sz w:val="14"/>
              </w:rPr>
            </w:pPr>
          </w:p>
          <w:p>
            <w:pPr>
              <w:pStyle w:val="7"/>
              <w:rPr>
                <w:rFonts w:ascii="Times New Roman"/>
                <w:sz w:val="14"/>
              </w:rPr>
            </w:pPr>
          </w:p>
          <w:p>
            <w:pPr>
              <w:pStyle w:val="7"/>
              <w:rPr>
                <w:rFonts w:ascii="Times New Roman"/>
                <w:sz w:val="16"/>
              </w:rPr>
            </w:pPr>
          </w:p>
          <w:p>
            <w:pPr>
              <w:pStyle w:val="7"/>
              <w:ind w:left="30" w:right="60"/>
              <w:jc w:val="both"/>
              <w:rPr>
                <w:sz w:val="14"/>
              </w:rPr>
            </w:pPr>
            <w:r>
              <w:rPr>
                <w:sz w:val="14"/>
              </w:rPr>
              <w:t>对工贸企业未在有限空间作业场所设置明显的安全警示标志的、未按规定为作业人员提供符合国家标准或者行业标准的劳动防护用品的行为的处罚</w:t>
            </w:r>
          </w:p>
        </w:tc>
        <w:tc>
          <w:tcPr>
            <w:tcW w:w="84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9"/>
              </w:rPr>
            </w:pPr>
          </w:p>
          <w:p>
            <w:pPr>
              <w:pStyle w:val="7"/>
              <w:ind w:left="24" w:right="1"/>
              <w:jc w:val="center"/>
              <w:rPr>
                <w:sz w:val="14"/>
              </w:rPr>
            </w:pPr>
            <w:r>
              <w:rPr>
                <w:sz w:val="14"/>
              </w:rPr>
              <w:t>行政处罚</w:t>
            </w:r>
          </w:p>
        </w:tc>
        <w:tc>
          <w:tcPr>
            <w:tcW w:w="10164" w:type="dxa"/>
          </w:tcPr>
          <w:p>
            <w:pPr>
              <w:pStyle w:val="7"/>
              <w:rPr>
                <w:rFonts w:ascii="Times New Roman"/>
                <w:sz w:val="12"/>
              </w:rPr>
            </w:pPr>
          </w:p>
          <w:p>
            <w:pPr>
              <w:pStyle w:val="7"/>
              <w:spacing w:before="8"/>
              <w:rPr>
                <w:rFonts w:ascii="Times New Roman"/>
                <w:sz w:val="9"/>
              </w:rPr>
            </w:pPr>
          </w:p>
          <w:p>
            <w:pPr>
              <w:pStyle w:val="7"/>
              <w:spacing w:line="273" w:lineRule="auto"/>
              <w:ind w:left="30" w:right="5"/>
              <w:rPr>
                <w:sz w:val="12"/>
              </w:rPr>
            </w:pPr>
            <w:r>
              <w:rPr>
                <w:b/>
                <w:w w:val="105"/>
                <w:sz w:val="12"/>
              </w:rPr>
              <w:t>《中华人民共和国安全生产法》第九十九条第一款第一项、第五项</w:t>
            </w:r>
            <w:r>
              <w:rPr>
                <w:w w:val="105"/>
                <w:sz w:val="12"/>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7"/>
              <w:spacing w:line="164" w:lineRule="exact"/>
              <w:ind w:left="30"/>
              <w:rPr>
                <w:sz w:val="14"/>
              </w:rPr>
            </w:pPr>
            <w:r>
              <w:rPr>
                <w:sz w:val="14"/>
              </w:rPr>
              <w:t>（一）未在有较大危险因素的生产经营场所和有关设施、设备上设置明显的安全警示标志的；</w:t>
            </w:r>
          </w:p>
          <w:p>
            <w:pPr>
              <w:pStyle w:val="7"/>
              <w:spacing w:before="1"/>
              <w:ind w:left="30"/>
              <w:rPr>
                <w:sz w:val="14"/>
              </w:rPr>
            </w:pPr>
            <w:r>
              <w:rPr>
                <w:sz w:val="14"/>
              </w:rPr>
              <w:t>（五）未为从业人员提供符合国家标准或者行业标准的劳动防护用品的；</w:t>
            </w:r>
          </w:p>
          <w:p>
            <w:pPr>
              <w:pStyle w:val="7"/>
              <w:spacing w:before="1"/>
              <w:ind w:left="30" w:right="3"/>
              <w:jc w:val="both"/>
              <w:rPr>
                <w:sz w:val="14"/>
              </w:rPr>
            </w:pPr>
            <w:r>
              <w:rPr>
                <w:b/>
                <w:sz w:val="14"/>
              </w:rPr>
              <w:t xml:space="preserve">《工贸企业有限空间作业安全管理与监督暂行规定》（2013年国家安全监管总局令第59号，2015年修正）第二十八条   </w:t>
            </w:r>
            <w:r>
              <w:rPr>
                <w:sz w:val="14"/>
              </w:rPr>
              <w:t>工贸企业有下列行为之一的，由县级以上安全生产监督管理部门责令限期改正，可以处5万元以下的罚款；逾期未改正的，处5万元以上20万元以下的罚款，其直接负责的主管人员和其他直接责任人员   处1万元以上2万元以下的罚款；情节严重的，责令停产停业整顿：</w:t>
            </w:r>
          </w:p>
          <w:p>
            <w:pPr>
              <w:pStyle w:val="7"/>
              <w:spacing w:before="1"/>
              <w:ind w:left="30"/>
              <w:jc w:val="both"/>
              <w:rPr>
                <w:sz w:val="14"/>
              </w:rPr>
            </w:pPr>
            <w:r>
              <w:rPr>
                <w:sz w:val="14"/>
              </w:rPr>
              <w:t>（一）未在有限空间作业场所设置明显的安全警示标志的；（二）未按照本规定为作业人员提供符合国家标准或者行业标准的劳动防护用品的。</w:t>
            </w:r>
          </w:p>
        </w:tc>
        <w:tc>
          <w:tcPr>
            <w:tcW w:w="96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9"/>
              </w:rPr>
            </w:pPr>
          </w:p>
          <w:p>
            <w:pPr>
              <w:pStyle w:val="7"/>
              <w:ind w:left="44" w:right="16"/>
              <w:jc w:val="center"/>
              <w:rPr>
                <w:sz w:val="14"/>
              </w:rPr>
            </w:pPr>
            <w:r>
              <w:rPr>
                <w:sz w:val="14"/>
              </w:rPr>
              <w:t>省应急管理厅</w:t>
            </w:r>
          </w:p>
        </w:tc>
        <w:tc>
          <w:tcPr>
            <w:tcW w:w="114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11"/>
              </w:rPr>
            </w:pPr>
          </w:p>
          <w:p>
            <w:pPr>
              <w:pStyle w:val="7"/>
              <w:ind w:left="30" w:right="84"/>
              <w:rPr>
                <w:sz w:val="14"/>
              </w:rPr>
            </w:pPr>
            <w:r>
              <w:rPr>
                <w:sz w:val="14"/>
              </w:rPr>
              <w:t>县级以上应急管理部门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9" w:hRule="atLeast"/>
        </w:trPr>
        <w:tc>
          <w:tcPr>
            <w:tcW w:w="456" w:type="dxa"/>
          </w:tcPr>
          <w:p>
            <w:pPr>
              <w:pStyle w:val="7"/>
              <w:rPr>
                <w:rFonts w:ascii="Times New Roman"/>
                <w:sz w:val="14"/>
              </w:rPr>
            </w:pPr>
          </w:p>
          <w:p>
            <w:pPr>
              <w:pStyle w:val="7"/>
              <w:rPr>
                <w:rFonts w:ascii="Times New Roman"/>
                <w:sz w:val="14"/>
              </w:rPr>
            </w:pPr>
          </w:p>
          <w:p>
            <w:pPr>
              <w:pStyle w:val="7"/>
              <w:spacing w:before="4"/>
              <w:rPr>
                <w:rFonts w:ascii="Times New Roman"/>
                <w:sz w:val="19"/>
              </w:rPr>
            </w:pPr>
          </w:p>
          <w:p>
            <w:pPr>
              <w:pStyle w:val="7"/>
              <w:ind w:left="29"/>
              <w:jc w:val="center"/>
              <w:rPr>
                <w:sz w:val="14"/>
              </w:rPr>
            </w:pPr>
            <w:r>
              <w:rPr>
                <w:sz w:val="14"/>
              </w:rPr>
              <w:t>29</w:t>
            </w:r>
          </w:p>
        </w:tc>
        <w:tc>
          <w:tcPr>
            <w:tcW w:w="2124" w:type="dxa"/>
          </w:tcPr>
          <w:p>
            <w:pPr>
              <w:pStyle w:val="7"/>
              <w:rPr>
                <w:rFonts w:ascii="Times New Roman"/>
                <w:sz w:val="16"/>
              </w:rPr>
            </w:pPr>
          </w:p>
          <w:p>
            <w:pPr>
              <w:pStyle w:val="7"/>
              <w:ind w:left="30" w:right="60"/>
              <w:jc w:val="both"/>
              <w:rPr>
                <w:sz w:val="14"/>
              </w:rPr>
            </w:pPr>
            <w:r>
              <w:rPr>
                <w:sz w:val="14"/>
              </w:rPr>
              <w:t>对违反规定进行开垦、采石、采砂、采土或者其他活动，造成林木、林地毁坏，以及在幼林地砍柴、毁苗、放牧造成林木毁坏的行为的处罚</w:t>
            </w:r>
          </w:p>
        </w:tc>
        <w:tc>
          <w:tcPr>
            <w:tcW w:w="840" w:type="dxa"/>
          </w:tcPr>
          <w:p>
            <w:pPr>
              <w:pStyle w:val="7"/>
              <w:rPr>
                <w:rFonts w:ascii="Times New Roman"/>
                <w:sz w:val="14"/>
              </w:rPr>
            </w:pPr>
          </w:p>
          <w:p>
            <w:pPr>
              <w:pStyle w:val="7"/>
              <w:rPr>
                <w:rFonts w:ascii="Times New Roman"/>
                <w:sz w:val="14"/>
              </w:rPr>
            </w:pPr>
          </w:p>
          <w:p>
            <w:pPr>
              <w:pStyle w:val="7"/>
              <w:spacing w:before="4"/>
              <w:rPr>
                <w:rFonts w:ascii="Times New Roman"/>
                <w:sz w:val="19"/>
              </w:rPr>
            </w:pPr>
          </w:p>
          <w:p>
            <w:pPr>
              <w:pStyle w:val="7"/>
              <w:ind w:left="24" w:right="1"/>
              <w:jc w:val="center"/>
              <w:rPr>
                <w:sz w:val="14"/>
              </w:rPr>
            </w:pPr>
            <w:r>
              <w:rPr>
                <w:sz w:val="14"/>
              </w:rPr>
              <w:t>行政处罚</w:t>
            </w:r>
          </w:p>
        </w:tc>
        <w:tc>
          <w:tcPr>
            <w:tcW w:w="10164" w:type="dxa"/>
          </w:tcPr>
          <w:p>
            <w:pPr>
              <w:pStyle w:val="7"/>
              <w:rPr>
                <w:rFonts w:ascii="Times New Roman"/>
                <w:sz w:val="16"/>
              </w:rPr>
            </w:pPr>
          </w:p>
          <w:p>
            <w:pPr>
              <w:pStyle w:val="7"/>
              <w:ind w:left="30" w:right="36"/>
              <w:rPr>
                <w:sz w:val="14"/>
              </w:rPr>
            </w:pPr>
            <w:r>
              <w:rPr>
                <w:b/>
                <w:sz w:val="14"/>
              </w:rPr>
              <w:t xml:space="preserve">《中华人民共和国森林法》第七十四条第一款、第二款     </w:t>
            </w:r>
            <w:r>
              <w:rPr>
                <w:sz w:val="14"/>
              </w:rPr>
              <w:t>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   以上人民政府林业主管部门责令停止违法行为，限期恢复植被和林业生产条件，可以处恢复植被和林业生产条件所需费用三倍以下的罚款。</w:t>
            </w:r>
          </w:p>
          <w:p>
            <w:pPr>
              <w:pStyle w:val="7"/>
              <w:spacing w:before="2"/>
              <w:ind w:left="30" w:right="36"/>
              <w:rPr>
                <w:sz w:val="14"/>
              </w:rPr>
            </w:pPr>
            <w:r>
              <w:rPr>
                <w:sz w:val="14"/>
              </w:rPr>
              <w:t>违反本法规定，在幼林地砍柴、毁苗、放牧造成林木毁坏的，由县级以上人民政府林业主管部门责令停止违法行为，限期在原地或者异地补种毁坏株数一倍以上   三倍以下的树木。</w:t>
            </w:r>
          </w:p>
        </w:tc>
        <w:tc>
          <w:tcPr>
            <w:tcW w:w="960" w:type="dxa"/>
          </w:tcPr>
          <w:p>
            <w:pPr>
              <w:pStyle w:val="7"/>
              <w:rPr>
                <w:rFonts w:ascii="Times New Roman"/>
                <w:sz w:val="14"/>
              </w:rPr>
            </w:pPr>
          </w:p>
          <w:p>
            <w:pPr>
              <w:pStyle w:val="7"/>
              <w:rPr>
                <w:rFonts w:ascii="Times New Roman"/>
                <w:sz w:val="14"/>
              </w:rPr>
            </w:pPr>
          </w:p>
          <w:p>
            <w:pPr>
              <w:pStyle w:val="7"/>
              <w:spacing w:before="4"/>
              <w:rPr>
                <w:rFonts w:ascii="Times New Roman"/>
                <w:sz w:val="19"/>
              </w:rPr>
            </w:pPr>
          </w:p>
          <w:p>
            <w:pPr>
              <w:pStyle w:val="7"/>
              <w:ind w:left="41" w:right="18"/>
              <w:jc w:val="center"/>
              <w:rPr>
                <w:sz w:val="14"/>
              </w:rPr>
            </w:pPr>
            <w:r>
              <w:rPr>
                <w:sz w:val="14"/>
              </w:rPr>
              <w:t>省林草局</w:t>
            </w:r>
          </w:p>
        </w:tc>
        <w:tc>
          <w:tcPr>
            <w:tcW w:w="1140" w:type="dxa"/>
          </w:tcPr>
          <w:p>
            <w:pPr>
              <w:pStyle w:val="7"/>
              <w:rPr>
                <w:rFonts w:ascii="Times New Roman"/>
                <w:sz w:val="14"/>
              </w:rPr>
            </w:pPr>
          </w:p>
          <w:p>
            <w:pPr>
              <w:pStyle w:val="7"/>
              <w:rPr>
                <w:rFonts w:ascii="Times New Roman"/>
                <w:sz w:val="14"/>
              </w:rPr>
            </w:pPr>
          </w:p>
          <w:p>
            <w:pPr>
              <w:pStyle w:val="7"/>
              <w:spacing w:before="7"/>
              <w:rPr>
                <w:rFonts w:ascii="Times New Roman"/>
                <w:sz w:val="11"/>
              </w:rPr>
            </w:pPr>
          </w:p>
          <w:p>
            <w:pPr>
              <w:pStyle w:val="7"/>
              <w:ind w:left="30" w:right="84"/>
              <w:rPr>
                <w:sz w:val="14"/>
              </w:rPr>
            </w:pPr>
            <w:r>
              <w:rPr>
                <w:sz w:val="14"/>
              </w:rPr>
              <w:t>县级以上人民政府林业主管部门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atLeast"/>
        </w:trPr>
        <w:tc>
          <w:tcPr>
            <w:tcW w:w="456" w:type="dxa"/>
          </w:tcPr>
          <w:p>
            <w:pPr>
              <w:pStyle w:val="7"/>
              <w:rPr>
                <w:rFonts w:ascii="Times New Roman"/>
                <w:sz w:val="14"/>
              </w:rPr>
            </w:pPr>
          </w:p>
          <w:p>
            <w:pPr>
              <w:pStyle w:val="7"/>
              <w:spacing w:before="2"/>
              <w:rPr>
                <w:rFonts w:ascii="Times New Roman"/>
                <w:sz w:val="16"/>
              </w:rPr>
            </w:pPr>
          </w:p>
          <w:p>
            <w:pPr>
              <w:pStyle w:val="7"/>
              <w:ind w:left="29"/>
              <w:jc w:val="center"/>
              <w:rPr>
                <w:sz w:val="14"/>
              </w:rPr>
            </w:pPr>
            <w:r>
              <w:rPr>
                <w:sz w:val="14"/>
              </w:rPr>
              <w:t>30</w:t>
            </w:r>
          </w:p>
        </w:tc>
        <w:tc>
          <w:tcPr>
            <w:tcW w:w="2124" w:type="dxa"/>
          </w:tcPr>
          <w:p>
            <w:pPr>
              <w:pStyle w:val="7"/>
              <w:rPr>
                <w:rFonts w:ascii="Times New Roman"/>
                <w:sz w:val="14"/>
              </w:rPr>
            </w:pPr>
          </w:p>
          <w:p>
            <w:pPr>
              <w:pStyle w:val="7"/>
              <w:spacing w:before="2"/>
              <w:rPr>
                <w:rFonts w:ascii="Times New Roman"/>
                <w:sz w:val="16"/>
              </w:rPr>
            </w:pPr>
          </w:p>
          <w:p>
            <w:pPr>
              <w:pStyle w:val="7"/>
              <w:ind w:left="39" w:right="70"/>
              <w:jc w:val="center"/>
              <w:rPr>
                <w:sz w:val="14"/>
              </w:rPr>
            </w:pPr>
            <w:r>
              <w:rPr>
                <w:sz w:val="14"/>
              </w:rPr>
              <w:t>对盗伐、滥伐林木的行为的处罚</w:t>
            </w:r>
          </w:p>
        </w:tc>
        <w:tc>
          <w:tcPr>
            <w:tcW w:w="840" w:type="dxa"/>
          </w:tcPr>
          <w:p>
            <w:pPr>
              <w:pStyle w:val="7"/>
              <w:rPr>
                <w:rFonts w:ascii="Times New Roman"/>
                <w:sz w:val="14"/>
              </w:rPr>
            </w:pPr>
          </w:p>
          <w:p>
            <w:pPr>
              <w:pStyle w:val="7"/>
              <w:spacing w:before="2"/>
              <w:rPr>
                <w:rFonts w:ascii="Times New Roman"/>
                <w:sz w:val="16"/>
              </w:rPr>
            </w:pPr>
          </w:p>
          <w:p>
            <w:pPr>
              <w:pStyle w:val="7"/>
              <w:ind w:left="24" w:right="1"/>
              <w:jc w:val="center"/>
              <w:rPr>
                <w:sz w:val="14"/>
              </w:rPr>
            </w:pPr>
            <w:r>
              <w:rPr>
                <w:sz w:val="14"/>
              </w:rPr>
              <w:t>行政处罚</w:t>
            </w:r>
          </w:p>
        </w:tc>
        <w:tc>
          <w:tcPr>
            <w:tcW w:w="10164" w:type="dxa"/>
          </w:tcPr>
          <w:p>
            <w:pPr>
              <w:pStyle w:val="7"/>
              <w:spacing w:before="79"/>
              <w:ind w:left="30" w:right="8"/>
              <w:rPr>
                <w:sz w:val="14"/>
              </w:rPr>
            </w:pPr>
            <w:r>
              <w:rPr>
                <w:b/>
                <w:sz w:val="14"/>
              </w:rPr>
              <w:t xml:space="preserve">《中华人民共和国森林法》第七十六条    </w:t>
            </w:r>
            <w:r>
              <w:rPr>
                <w:sz w:val="14"/>
              </w:rPr>
              <w:t>盗伐林木的，由县级以上人民政府林业主管部门责令限期在原地或者异地补种盗伐株数一倍以上五倍以下的树木，并处盗伐林木价值五倍以上十倍以下的罚款。</w:t>
            </w:r>
          </w:p>
          <w:p>
            <w:pPr>
              <w:pStyle w:val="7"/>
              <w:spacing w:before="1"/>
              <w:ind w:left="30"/>
              <w:rPr>
                <w:sz w:val="14"/>
              </w:rPr>
            </w:pPr>
            <w:r>
              <w:rPr>
                <w:sz w:val="14"/>
              </w:rPr>
              <w:t>滥伐林木的，由县级以上人民政府林业主管部门责令限期在原地或者异地补种滥伐株数一倍以上三倍以下的树木，可以处滥伐林木价值三倍以上五倍以下的罚款</w:t>
            </w:r>
          </w:p>
          <w:p>
            <w:pPr>
              <w:pStyle w:val="7"/>
              <w:ind w:left="30"/>
              <w:rPr>
                <w:sz w:val="14"/>
              </w:rPr>
            </w:pPr>
            <w:r>
              <w:rPr>
                <w:w w:val="102"/>
                <w:sz w:val="14"/>
              </w:rPr>
              <w:t>。</w:t>
            </w:r>
          </w:p>
        </w:tc>
        <w:tc>
          <w:tcPr>
            <w:tcW w:w="960" w:type="dxa"/>
          </w:tcPr>
          <w:p>
            <w:pPr>
              <w:pStyle w:val="7"/>
              <w:rPr>
                <w:rFonts w:ascii="Times New Roman"/>
                <w:sz w:val="14"/>
              </w:rPr>
            </w:pPr>
          </w:p>
          <w:p>
            <w:pPr>
              <w:pStyle w:val="7"/>
              <w:spacing w:before="2"/>
              <w:rPr>
                <w:rFonts w:ascii="Times New Roman"/>
                <w:sz w:val="16"/>
              </w:rPr>
            </w:pPr>
          </w:p>
          <w:p>
            <w:pPr>
              <w:pStyle w:val="7"/>
              <w:ind w:left="41" w:right="18"/>
              <w:jc w:val="center"/>
              <w:rPr>
                <w:sz w:val="14"/>
              </w:rPr>
            </w:pPr>
            <w:r>
              <w:rPr>
                <w:sz w:val="14"/>
              </w:rPr>
              <w:t>省林草局</w:t>
            </w:r>
          </w:p>
        </w:tc>
        <w:tc>
          <w:tcPr>
            <w:tcW w:w="1140" w:type="dxa"/>
          </w:tcPr>
          <w:p>
            <w:pPr>
              <w:pStyle w:val="7"/>
              <w:rPr>
                <w:rFonts w:ascii="Times New Roman"/>
                <w:sz w:val="14"/>
              </w:rPr>
            </w:pPr>
          </w:p>
          <w:p>
            <w:pPr>
              <w:pStyle w:val="7"/>
              <w:spacing w:before="98"/>
              <w:ind w:left="30" w:right="84"/>
              <w:rPr>
                <w:sz w:val="14"/>
              </w:rPr>
            </w:pPr>
            <w:r>
              <w:rPr>
                <w:sz w:val="14"/>
              </w:rPr>
              <w:t>县级以上人民政府林业主管部门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3" w:hRule="atLeast"/>
        </w:trPr>
        <w:tc>
          <w:tcPr>
            <w:tcW w:w="456" w:type="dxa"/>
          </w:tcPr>
          <w:p>
            <w:pPr>
              <w:pStyle w:val="7"/>
              <w:rPr>
                <w:rFonts w:ascii="Times New Roman"/>
                <w:sz w:val="14"/>
              </w:rPr>
            </w:pPr>
          </w:p>
          <w:p>
            <w:pPr>
              <w:pStyle w:val="7"/>
              <w:spacing w:before="95"/>
              <w:ind w:left="29"/>
              <w:jc w:val="center"/>
              <w:rPr>
                <w:sz w:val="14"/>
              </w:rPr>
            </w:pPr>
            <w:r>
              <w:rPr>
                <w:sz w:val="14"/>
              </w:rPr>
              <w:t>31</w:t>
            </w:r>
          </w:p>
        </w:tc>
        <w:tc>
          <w:tcPr>
            <w:tcW w:w="2124" w:type="dxa"/>
          </w:tcPr>
          <w:p>
            <w:pPr>
              <w:pStyle w:val="7"/>
              <w:spacing w:before="76"/>
              <w:ind w:left="30" w:right="60"/>
              <w:jc w:val="both"/>
              <w:rPr>
                <w:sz w:val="14"/>
              </w:rPr>
            </w:pPr>
            <w:r>
              <w:rPr>
                <w:sz w:val="14"/>
              </w:rPr>
              <w:t>对违反规定收购、加工、运输明知是盗伐、滥伐等非法来源木材的行为的处罚</w:t>
            </w:r>
          </w:p>
        </w:tc>
        <w:tc>
          <w:tcPr>
            <w:tcW w:w="840" w:type="dxa"/>
          </w:tcPr>
          <w:p>
            <w:pPr>
              <w:pStyle w:val="7"/>
              <w:rPr>
                <w:rFonts w:ascii="Times New Roman"/>
                <w:sz w:val="14"/>
              </w:rPr>
            </w:pPr>
          </w:p>
          <w:p>
            <w:pPr>
              <w:pStyle w:val="7"/>
              <w:spacing w:before="95"/>
              <w:ind w:left="24" w:right="1"/>
              <w:jc w:val="center"/>
              <w:rPr>
                <w:sz w:val="14"/>
              </w:rPr>
            </w:pPr>
            <w:r>
              <w:rPr>
                <w:sz w:val="14"/>
              </w:rPr>
              <w:t>行政处罚</w:t>
            </w:r>
          </w:p>
        </w:tc>
        <w:tc>
          <w:tcPr>
            <w:tcW w:w="10164" w:type="dxa"/>
          </w:tcPr>
          <w:p>
            <w:pPr>
              <w:pStyle w:val="7"/>
              <w:spacing w:before="6"/>
              <w:rPr>
                <w:rFonts w:ascii="Times New Roman"/>
                <w:sz w:val="14"/>
              </w:rPr>
            </w:pPr>
          </w:p>
          <w:p>
            <w:pPr>
              <w:pStyle w:val="7"/>
              <w:ind w:left="30" w:right="8"/>
              <w:rPr>
                <w:sz w:val="14"/>
              </w:rPr>
            </w:pPr>
            <w:r>
              <w:rPr>
                <w:b/>
                <w:sz w:val="14"/>
              </w:rPr>
              <w:t xml:space="preserve">《中华人民共和国森林法》第七十八条    </w:t>
            </w:r>
            <w:r>
              <w:rPr>
                <w:sz w:val="14"/>
              </w:rPr>
              <w:t>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tc>
        <w:tc>
          <w:tcPr>
            <w:tcW w:w="960" w:type="dxa"/>
          </w:tcPr>
          <w:p>
            <w:pPr>
              <w:pStyle w:val="7"/>
              <w:rPr>
                <w:rFonts w:ascii="Times New Roman"/>
                <w:sz w:val="14"/>
              </w:rPr>
            </w:pPr>
          </w:p>
          <w:p>
            <w:pPr>
              <w:pStyle w:val="7"/>
              <w:spacing w:before="95"/>
              <w:ind w:left="41" w:right="18"/>
              <w:jc w:val="center"/>
              <w:rPr>
                <w:sz w:val="14"/>
              </w:rPr>
            </w:pPr>
            <w:r>
              <w:rPr>
                <w:sz w:val="14"/>
              </w:rPr>
              <w:t>省林草局</w:t>
            </w:r>
          </w:p>
        </w:tc>
        <w:tc>
          <w:tcPr>
            <w:tcW w:w="1140" w:type="dxa"/>
          </w:tcPr>
          <w:p>
            <w:pPr>
              <w:pStyle w:val="7"/>
              <w:spacing w:before="6"/>
              <w:rPr>
                <w:rFonts w:ascii="Times New Roman"/>
                <w:sz w:val="14"/>
              </w:rPr>
            </w:pPr>
          </w:p>
          <w:p>
            <w:pPr>
              <w:pStyle w:val="7"/>
              <w:ind w:left="30" w:right="84"/>
              <w:rPr>
                <w:sz w:val="14"/>
              </w:rPr>
            </w:pPr>
            <w:r>
              <w:rPr>
                <w:sz w:val="14"/>
              </w:rPr>
              <w:t>县级以上人民政府林业主管部门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08" w:hRule="atLeast"/>
        </w:trPr>
        <w:tc>
          <w:tcPr>
            <w:tcW w:w="4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5"/>
              </w:rPr>
            </w:pPr>
          </w:p>
          <w:p>
            <w:pPr>
              <w:pStyle w:val="7"/>
              <w:spacing w:before="1"/>
              <w:ind w:left="29"/>
              <w:jc w:val="center"/>
              <w:rPr>
                <w:sz w:val="14"/>
              </w:rPr>
            </w:pPr>
            <w:r>
              <w:rPr>
                <w:sz w:val="14"/>
              </w:rPr>
              <w:t>32</w:t>
            </w:r>
          </w:p>
        </w:tc>
        <w:tc>
          <w:tcPr>
            <w:tcW w:w="212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4"/>
              </w:rPr>
            </w:pPr>
          </w:p>
          <w:p>
            <w:pPr>
              <w:pStyle w:val="7"/>
              <w:ind w:left="30" w:right="60"/>
              <w:jc w:val="both"/>
              <w:rPr>
                <w:sz w:val="14"/>
              </w:rPr>
            </w:pPr>
            <w:r>
              <w:rPr>
                <w:sz w:val="14"/>
              </w:rPr>
              <w:t>对违反规定采挖植物，采土、采砂、采石，开展经营性旅游活动破坏草原等行为的处罚</w:t>
            </w:r>
          </w:p>
        </w:tc>
        <w:tc>
          <w:tcPr>
            <w:tcW w:w="84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5"/>
              </w:rPr>
            </w:pPr>
          </w:p>
          <w:p>
            <w:pPr>
              <w:pStyle w:val="7"/>
              <w:spacing w:before="1"/>
              <w:ind w:left="24" w:right="1"/>
              <w:jc w:val="center"/>
              <w:rPr>
                <w:sz w:val="14"/>
              </w:rPr>
            </w:pPr>
            <w:r>
              <w:rPr>
                <w:sz w:val="14"/>
              </w:rPr>
              <w:t>行政处罚</w:t>
            </w:r>
          </w:p>
        </w:tc>
        <w:tc>
          <w:tcPr>
            <w:tcW w:w="10164" w:type="dxa"/>
          </w:tcPr>
          <w:p>
            <w:pPr>
              <w:pStyle w:val="7"/>
              <w:spacing w:before="105"/>
              <w:ind w:left="30" w:right="8"/>
              <w:jc w:val="both"/>
              <w:rPr>
                <w:sz w:val="14"/>
              </w:rPr>
            </w:pPr>
            <w:r>
              <w:rPr>
                <w:b/>
                <w:spacing w:val="1"/>
                <w:sz w:val="14"/>
              </w:rPr>
              <w:t xml:space="preserve">《中华人民共和国草原法》第六十七条    </w:t>
            </w:r>
            <w:r>
              <w:rPr>
                <w:sz w:val="14"/>
              </w:rPr>
              <w:t>在荒漠、半荒漠和严重退化、沙化、盐碱化、石漠化、水土流失的草原，以及生态脆弱区的草原上采挖植物或者从事破坏草原植被的其他活动的，由县级以上地方人民政府草原行政主管部门依据职权责令停止违法行为，没收非法财物和违法所得，可以并处违法所得一倍以上五倍   以下的罚款；没有违法所得的，可以并处五万元以下的罚款；给草原所有者或者使用者造成损失的，依法承担赔偿责任。</w:t>
            </w:r>
          </w:p>
          <w:p>
            <w:pPr>
              <w:pStyle w:val="7"/>
              <w:spacing w:before="2"/>
              <w:ind w:left="30" w:right="36"/>
              <w:rPr>
                <w:sz w:val="14"/>
              </w:rPr>
            </w:pPr>
            <w:r>
              <w:rPr>
                <w:b/>
                <w:sz w:val="14"/>
              </w:rPr>
              <w:t xml:space="preserve">第六十八条     </w:t>
            </w:r>
            <w:r>
              <w:rPr>
                <w:sz w:val="14"/>
              </w:rPr>
              <w:t>未经批准或者未按照规定的时间、区域和采挖方式在草原上进行采土、采砂、采石等活动的，由县级人民政府草原行政主管部门责令停止违法行为，限期恢复植被，没收非法财物和违法所得，可以并处违法所得一倍以上二倍以下的罚款；没有违法所得的，可以并处二万元以下的罚款；给草原所有者或者   使用者造成损失的，依法承担赔偿责任。</w:t>
            </w:r>
          </w:p>
          <w:p>
            <w:pPr>
              <w:pStyle w:val="7"/>
              <w:spacing w:before="2"/>
              <w:ind w:left="30" w:right="27"/>
              <w:jc w:val="both"/>
              <w:rPr>
                <w:sz w:val="14"/>
              </w:rPr>
            </w:pPr>
            <w:r>
              <w:rPr>
                <w:b/>
                <w:spacing w:val="2"/>
                <w:sz w:val="14"/>
              </w:rPr>
              <w:t xml:space="preserve">第六十九条    </w:t>
            </w:r>
            <w:r>
              <w:rPr>
                <w:sz w:val="14"/>
              </w:rPr>
              <w:t>违反本法第五十二条规定，在草原上开展经营性旅游活动，破坏草原植被的，由县级以上地方人民政府草原行政主管部门依据职权责令停止违法行为，限期恢复植被，没收违法所得，可以并处违法所得一倍以上二倍以下的罚款；没有违法所得的，可以并处草原被破坏前三年平均产值六倍以上十二倍以下的   罚款；给草原所有者或者使用者造成损失的，依法承担赔偿责任。</w:t>
            </w:r>
          </w:p>
        </w:tc>
        <w:tc>
          <w:tcPr>
            <w:tcW w:w="96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5"/>
              </w:rPr>
            </w:pPr>
          </w:p>
          <w:p>
            <w:pPr>
              <w:pStyle w:val="7"/>
              <w:spacing w:before="1"/>
              <w:ind w:left="41" w:right="18"/>
              <w:jc w:val="center"/>
              <w:rPr>
                <w:sz w:val="14"/>
              </w:rPr>
            </w:pPr>
            <w:r>
              <w:rPr>
                <w:sz w:val="14"/>
              </w:rPr>
              <w:t>省林草局</w:t>
            </w:r>
          </w:p>
        </w:tc>
        <w:tc>
          <w:tcPr>
            <w:tcW w:w="114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4"/>
              </w:rPr>
            </w:pPr>
          </w:p>
          <w:p>
            <w:pPr>
              <w:pStyle w:val="7"/>
              <w:ind w:left="30" w:right="84"/>
              <w:jc w:val="both"/>
              <w:rPr>
                <w:sz w:val="14"/>
              </w:rPr>
            </w:pPr>
            <w:r>
              <w:rPr>
                <w:sz w:val="14"/>
              </w:rPr>
              <w:t>县级以上人民政府草原行政主管部门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9" w:hRule="atLeast"/>
        </w:trPr>
        <w:tc>
          <w:tcPr>
            <w:tcW w:w="456" w:type="dxa"/>
          </w:tcPr>
          <w:p>
            <w:pPr>
              <w:pStyle w:val="7"/>
              <w:rPr>
                <w:rFonts w:ascii="Times New Roman"/>
                <w:sz w:val="14"/>
              </w:rPr>
            </w:pPr>
          </w:p>
          <w:p>
            <w:pPr>
              <w:pStyle w:val="7"/>
              <w:rPr>
                <w:rFonts w:ascii="Times New Roman"/>
                <w:sz w:val="14"/>
              </w:rPr>
            </w:pPr>
          </w:p>
          <w:p>
            <w:pPr>
              <w:pStyle w:val="7"/>
              <w:spacing w:before="83"/>
              <w:ind w:left="29"/>
              <w:jc w:val="center"/>
              <w:rPr>
                <w:sz w:val="14"/>
              </w:rPr>
            </w:pPr>
            <w:r>
              <w:rPr>
                <w:sz w:val="14"/>
              </w:rPr>
              <w:t>33</w:t>
            </w:r>
          </w:p>
        </w:tc>
        <w:tc>
          <w:tcPr>
            <w:tcW w:w="2124" w:type="dxa"/>
          </w:tcPr>
          <w:p>
            <w:pPr>
              <w:pStyle w:val="7"/>
              <w:spacing w:before="6"/>
              <w:rPr>
                <w:rFonts w:ascii="Times New Roman"/>
                <w:sz w:val="19"/>
              </w:rPr>
            </w:pPr>
          </w:p>
          <w:p>
            <w:pPr>
              <w:pStyle w:val="7"/>
              <w:spacing w:before="1"/>
              <w:ind w:left="30" w:right="60"/>
              <w:jc w:val="both"/>
              <w:rPr>
                <w:sz w:val="14"/>
              </w:rPr>
            </w:pPr>
            <w:r>
              <w:rPr>
                <w:sz w:val="14"/>
              </w:rPr>
              <w:t>对未持有合法来源证明出售、利用、运输非国家重点保护野生动物的行为的处罚</w:t>
            </w:r>
          </w:p>
        </w:tc>
        <w:tc>
          <w:tcPr>
            <w:tcW w:w="840" w:type="dxa"/>
          </w:tcPr>
          <w:p>
            <w:pPr>
              <w:pStyle w:val="7"/>
              <w:rPr>
                <w:rFonts w:ascii="Times New Roman"/>
                <w:sz w:val="14"/>
              </w:rPr>
            </w:pPr>
          </w:p>
          <w:p>
            <w:pPr>
              <w:pStyle w:val="7"/>
              <w:rPr>
                <w:rFonts w:ascii="Times New Roman"/>
                <w:sz w:val="14"/>
              </w:rPr>
            </w:pPr>
          </w:p>
          <w:p>
            <w:pPr>
              <w:pStyle w:val="7"/>
              <w:spacing w:before="83"/>
              <w:ind w:left="24" w:right="1"/>
              <w:jc w:val="center"/>
              <w:rPr>
                <w:sz w:val="14"/>
              </w:rPr>
            </w:pPr>
            <w:r>
              <w:rPr>
                <w:sz w:val="14"/>
              </w:rPr>
              <w:t>行政处罚</w:t>
            </w:r>
          </w:p>
        </w:tc>
        <w:tc>
          <w:tcPr>
            <w:tcW w:w="10164" w:type="dxa"/>
          </w:tcPr>
          <w:p>
            <w:pPr>
              <w:pStyle w:val="7"/>
              <w:spacing w:before="7"/>
              <w:rPr>
                <w:rFonts w:ascii="Times New Roman"/>
                <w:sz w:val="11"/>
              </w:rPr>
            </w:pPr>
          </w:p>
          <w:p>
            <w:pPr>
              <w:pStyle w:val="7"/>
              <w:ind w:left="30" w:right="1364"/>
              <w:rPr>
                <w:sz w:val="14"/>
              </w:rPr>
            </w:pPr>
            <w:r>
              <w:rPr>
                <w:b/>
                <w:sz w:val="14"/>
              </w:rPr>
              <w:t xml:space="preserve">《中华人民共和国野生动物保护法》第二十七条第四款   </w:t>
            </w:r>
            <w:r>
              <w:rPr>
                <w:sz w:val="14"/>
              </w:rPr>
              <w:t>出售、利用非国家重点保护野生动物的，应当提供狩猎、进出口等合法来源证明。</w:t>
            </w:r>
            <w:r>
              <w:rPr>
                <w:b/>
                <w:sz w:val="14"/>
              </w:rPr>
              <w:t xml:space="preserve">第三十三条第二款 </w:t>
            </w:r>
            <w:r>
              <w:rPr>
                <w:sz w:val="14"/>
              </w:rPr>
              <w:t>运输非国家重点保护野生动物出县境的，应当持有狩猎、进出口等合法来源证明，以及检疫证明。</w:t>
            </w:r>
          </w:p>
          <w:p>
            <w:pPr>
              <w:pStyle w:val="7"/>
              <w:spacing w:before="2"/>
              <w:ind w:left="30" w:right="22"/>
              <w:rPr>
                <w:sz w:val="14"/>
              </w:rPr>
            </w:pPr>
            <w:r>
              <w:rPr>
                <w:b/>
                <w:sz w:val="14"/>
              </w:rPr>
              <w:t xml:space="preserve">第四十八条第二款    </w:t>
            </w:r>
            <w:r>
              <w:rPr>
                <w:sz w:val="14"/>
              </w:rPr>
              <w:t>违反本法第二十七条第四款、第三十三条第二款规定，未持有合法来源证明出售、利用、运输非国家重点保护野生动物的，由县级以上地方人民政府野生动物保护主管部门或者市场监督管理部门按照职责分工没收野生动物，并处野生动物价值一倍以上五倍以下的罚款。</w:t>
            </w:r>
          </w:p>
        </w:tc>
        <w:tc>
          <w:tcPr>
            <w:tcW w:w="960" w:type="dxa"/>
          </w:tcPr>
          <w:p>
            <w:pPr>
              <w:pStyle w:val="7"/>
              <w:rPr>
                <w:rFonts w:ascii="Times New Roman"/>
                <w:sz w:val="14"/>
              </w:rPr>
            </w:pPr>
          </w:p>
          <w:p>
            <w:pPr>
              <w:pStyle w:val="7"/>
              <w:rPr>
                <w:rFonts w:ascii="Times New Roman"/>
                <w:sz w:val="14"/>
              </w:rPr>
            </w:pPr>
          </w:p>
          <w:p>
            <w:pPr>
              <w:pStyle w:val="7"/>
              <w:spacing w:before="83"/>
              <w:ind w:left="41" w:right="18"/>
              <w:jc w:val="center"/>
              <w:rPr>
                <w:sz w:val="14"/>
              </w:rPr>
            </w:pPr>
            <w:r>
              <w:rPr>
                <w:sz w:val="14"/>
              </w:rPr>
              <w:t>省林草局</w:t>
            </w:r>
          </w:p>
        </w:tc>
        <w:tc>
          <w:tcPr>
            <w:tcW w:w="1140" w:type="dxa"/>
          </w:tcPr>
          <w:p>
            <w:pPr>
              <w:pStyle w:val="7"/>
              <w:spacing w:before="6"/>
              <w:rPr>
                <w:rFonts w:ascii="Times New Roman"/>
                <w:sz w:val="19"/>
              </w:rPr>
            </w:pPr>
          </w:p>
          <w:p>
            <w:pPr>
              <w:pStyle w:val="7"/>
              <w:spacing w:before="1"/>
              <w:ind w:left="30" w:right="84"/>
              <w:jc w:val="both"/>
              <w:rPr>
                <w:sz w:val="14"/>
              </w:rPr>
            </w:pPr>
            <w:r>
              <w:rPr>
                <w:sz w:val="14"/>
              </w:rPr>
              <w:t>县级以上人民政府野生动物保护主管部门</w:t>
            </w:r>
          </w:p>
        </w:tc>
      </w:tr>
    </w:tbl>
    <w:p>
      <w:pPr>
        <w:spacing w:after="0"/>
        <w:jc w:val="both"/>
        <w:rPr>
          <w:sz w:val="14"/>
        </w:rPr>
        <w:sectPr>
          <w:pgSz w:w="16840" w:h="11910" w:orient="landscape"/>
          <w:pgMar w:top="1100" w:right="460" w:bottom="620" w:left="460" w:header="0" w:footer="437" w:gutter="0"/>
          <w:cols w:space="720" w:num="1"/>
        </w:sectPr>
      </w:pPr>
    </w:p>
    <w:p>
      <w:pPr>
        <w:pStyle w:val="2"/>
        <w:rPr>
          <w:rFonts w:ascii="Times New Roman"/>
          <w:sz w:val="20"/>
        </w:rPr>
      </w:pPr>
    </w:p>
    <w:p>
      <w:pPr>
        <w:pStyle w:val="2"/>
        <w:spacing w:before="5"/>
        <w:rPr>
          <w:rFonts w:ascii="Times New Roman"/>
          <w:sz w:val="16"/>
        </w:rPr>
      </w:pPr>
    </w:p>
    <w:tbl>
      <w:tblPr>
        <w:tblStyle w:val="3"/>
        <w:tblW w:w="0" w:type="auto"/>
        <w:tblInd w:w="1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6"/>
        <w:gridCol w:w="2124"/>
        <w:gridCol w:w="840"/>
        <w:gridCol w:w="10164"/>
        <w:gridCol w:w="960"/>
        <w:gridCol w:w="11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456" w:type="dxa"/>
          </w:tcPr>
          <w:p>
            <w:pPr>
              <w:pStyle w:val="7"/>
              <w:spacing w:before="113"/>
              <w:ind w:left="28"/>
              <w:jc w:val="center"/>
              <w:rPr>
                <w:rFonts w:hint="eastAsia" w:ascii="黑体" w:eastAsia="黑体"/>
                <w:sz w:val="19"/>
              </w:rPr>
            </w:pPr>
            <w:r>
              <w:rPr>
                <w:rFonts w:hint="eastAsia" w:ascii="黑体" w:eastAsia="黑体"/>
                <w:sz w:val="19"/>
              </w:rPr>
              <w:t>序号</w:t>
            </w:r>
          </w:p>
        </w:tc>
        <w:tc>
          <w:tcPr>
            <w:tcW w:w="2124" w:type="dxa"/>
          </w:tcPr>
          <w:p>
            <w:pPr>
              <w:pStyle w:val="7"/>
              <w:spacing w:before="113"/>
              <w:ind w:left="683"/>
              <w:rPr>
                <w:rFonts w:hint="eastAsia" w:ascii="黑体" w:eastAsia="黑体"/>
                <w:sz w:val="19"/>
              </w:rPr>
            </w:pPr>
            <w:r>
              <w:rPr>
                <w:rFonts w:hint="eastAsia" w:ascii="黑体" w:eastAsia="黑体"/>
                <w:sz w:val="19"/>
              </w:rPr>
              <w:t>职权名称</w:t>
            </w:r>
          </w:p>
        </w:tc>
        <w:tc>
          <w:tcPr>
            <w:tcW w:w="840" w:type="dxa"/>
          </w:tcPr>
          <w:p>
            <w:pPr>
              <w:pStyle w:val="7"/>
              <w:spacing w:before="113"/>
              <w:ind w:left="24" w:right="1"/>
              <w:jc w:val="center"/>
              <w:rPr>
                <w:rFonts w:hint="eastAsia" w:ascii="黑体" w:eastAsia="黑体"/>
                <w:sz w:val="19"/>
              </w:rPr>
            </w:pPr>
            <w:r>
              <w:rPr>
                <w:rFonts w:hint="eastAsia" w:ascii="黑体" w:eastAsia="黑体"/>
                <w:sz w:val="19"/>
              </w:rPr>
              <w:t>职权类型</w:t>
            </w:r>
          </w:p>
        </w:tc>
        <w:tc>
          <w:tcPr>
            <w:tcW w:w="10164" w:type="dxa"/>
          </w:tcPr>
          <w:p>
            <w:pPr>
              <w:pStyle w:val="7"/>
              <w:spacing w:before="113"/>
              <w:ind w:left="4687" w:right="4662"/>
              <w:jc w:val="center"/>
              <w:rPr>
                <w:rFonts w:hint="eastAsia" w:ascii="黑体" w:eastAsia="黑体"/>
                <w:sz w:val="19"/>
              </w:rPr>
            </w:pPr>
            <w:r>
              <w:rPr>
                <w:rFonts w:hint="eastAsia" w:ascii="黑体" w:eastAsia="黑体"/>
                <w:sz w:val="19"/>
              </w:rPr>
              <w:t>职权依据</w:t>
            </w:r>
          </w:p>
        </w:tc>
        <w:tc>
          <w:tcPr>
            <w:tcW w:w="960" w:type="dxa"/>
          </w:tcPr>
          <w:p>
            <w:pPr>
              <w:pStyle w:val="7"/>
              <w:spacing w:before="113"/>
              <w:ind w:left="41" w:right="18"/>
              <w:jc w:val="center"/>
              <w:rPr>
                <w:rFonts w:hint="eastAsia" w:ascii="黑体" w:eastAsia="黑体"/>
                <w:sz w:val="19"/>
              </w:rPr>
            </w:pPr>
            <w:r>
              <w:rPr>
                <w:rFonts w:hint="eastAsia" w:ascii="黑体" w:eastAsia="黑体"/>
                <w:sz w:val="19"/>
              </w:rPr>
              <w:t>主管部门</w:t>
            </w:r>
          </w:p>
        </w:tc>
        <w:tc>
          <w:tcPr>
            <w:tcW w:w="1140" w:type="dxa"/>
          </w:tcPr>
          <w:p>
            <w:pPr>
              <w:pStyle w:val="7"/>
              <w:spacing w:before="113"/>
              <w:ind w:left="95"/>
              <w:rPr>
                <w:rFonts w:hint="eastAsia" w:ascii="黑体" w:eastAsia="黑体"/>
                <w:sz w:val="19"/>
              </w:rPr>
            </w:pPr>
            <w:r>
              <w:rPr>
                <w:rFonts w:hint="eastAsia" w:ascii="黑体" w:eastAsia="黑体"/>
                <w:sz w:val="19"/>
              </w:rPr>
              <w:t>原实施主体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0" w:hRule="atLeast"/>
        </w:trPr>
        <w:tc>
          <w:tcPr>
            <w:tcW w:w="456" w:type="dxa"/>
          </w:tcPr>
          <w:p>
            <w:pPr>
              <w:pStyle w:val="7"/>
              <w:rPr>
                <w:rFonts w:ascii="Times New Roman"/>
                <w:sz w:val="14"/>
              </w:rPr>
            </w:pPr>
          </w:p>
          <w:p>
            <w:pPr>
              <w:pStyle w:val="7"/>
              <w:spacing w:before="1"/>
              <w:rPr>
                <w:rFonts w:ascii="Times New Roman"/>
                <w:sz w:val="19"/>
              </w:rPr>
            </w:pPr>
          </w:p>
          <w:p>
            <w:pPr>
              <w:pStyle w:val="7"/>
              <w:spacing w:before="1"/>
              <w:ind w:left="29"/>
              <w:jc w:val="center"/>
              <w:rPr>
                <w:sz w:val="14"/>
              </w:rPr>
            </w:pPr>
            <w:r>
              <w:rPr>
                <w:sz w:val="14"/>
              </w:rPr>
              <w:t>34</w:t>
            </w:r>
          </w:p>
        </w:tc>
        <w:tc>
          <w:tcPr>
            <w:tcW w:w="2124" w:type="dxa"/>
          </w:tcPr>
          <w:p>
            <w:pPr>
              <w:pStyle w:val="7"/>
              <w:spacing w:before="5"/>
              <w:rPr>
                <w:rFonts w:ascii="Times New Roman"/>
                <w:sz w:val="17"/>
              </w:rPr>
            </w:pPr>
          </w:p>
          <w:p>
            <w:pPr>
              <w:pStyle w:val="7"/>
              <w:spacing w:before="1"/>
              <w:ind w:left="30" w:right="60"/>
              <w:jc w:val="both"/>
              <w:rPr>
                <w:sz w:val="14"/>
              </w:rPr>
            </w:pPr>
            <w:r>
              <w:rPr>
                <w:sz w:val="14"/>
              </w:rPr>
              <w:t>对违反规定采集、出售、收购国家重点保护野生植物的行为的处罚</w:t>
            </w:r>
          </w:p>
        </w:tc>
        <w:tc>
          <w:tcPr>
            <w:tcW w:w="840" w:type="dxa"/>
          </w:tcPr>
          <w:p>
            <w:pPr>
              <w:pStyle w:val="7"/>
              <w:rPr>
                <w:rFonts w:ascii="Times New Roman"/>
                <w:sz w:val="14"/>
              </w:rPr>
            </w:pPr>
          </w:p>
          <w:p>
            <w:pPr>
              <w:pStyle w:val="7"/>
              <w:spacing w:before="1"/>
              <w:rPr>
                <w:rFonts w:ascii="Times New Roman"/>
                <w:sz w:val="19"/>
              </w:rPr>
            </w:pPr>
          </w:p>
          <w:p>
            <w:pPr>
              <w:pStyle w:val="7"/>
              <w:spacing w:before="1"/>
              <w:ind w:left="24" w:right="1"/>
              <w:jc w:val="center"/>
              <w:rPr>
                <w:sz w:val="14"/>
              </w:rPr>
            </w:pPr>
            <w:r>
              <w:rPr>
                <w:sz w:val="14"/>
              </w:rPr>
              <w:t>行政处罚</w:t>
            </w:r>
          </w:p>
        </w:tc>
        <w:tc>
          <w:tcPr>
            <w:tcW w:w="10164" w:type="dxa"/>
          </w:tcPr>
          <w:p>
            <w:pPr>
              <w:pStyle w:val="7"/>
              <w:spacing w:before="110"/>
              <w:ind w:left="30" w:right="48"/>
              <w:rPr>
                <w:sz w:val="14"/>
              </w:rPr>
            </w:pPr>
            <w:r>
              <w:rPr>
                <w:b/>
                <w:sz w:val="14"/>
              </w:rPr>
              <w:t xml:space="preserve">《中华人民共和国野生植物保护条例》（国务院令第204号）第二十三条    </w:t>
            </w:r>
            <w:r>
              <w:rPr>
                <w:sz w:val="14"/>
              </w:rPr>
              <w:t>未取得采集证或者未按照采集证的规定采集国家重点保护野生植物的，由野生植物行政主管部门没收所采集的野生植物和违法所得，可以并处违法所得10倍以下的罚款；有采集证的，并可以吊销采集证。</w:t>
            </w:r>
          </w:p>
          <w:p>
            <w:pPr>
              <w:pStyle w:val="7"/>
              <w:spacing w:before="1"/>
              <w:ind w:left="30" w:right="22"/>
              <w:rPr>
                <w:sz w:val="14"/>
              </w:rPr>
            </w:pPr>
            <w:r>
              <w:rPr>
                <w:b/>
                <w:spacing w:val="4"/>
                <w:sz w:val="14"/>
              </w:rPr>
              <w:t xml:space="preserve">第二十四条   </w:t>
            </w:r>
            <w:r>
              <w:rPr>
                <w:sz w:val="14"/>
              </w:rPr>
              <w:t>违反本条例规定，出售、收购国家重点保护野生植物的，由工商行政管理部门或者野生植物行政主管部门按照职责分工没收野生植物和违法所得， 可以并处违法所得10倍以下的罚款。</w:t>
            </w:r>
          </w:p>
        </w:tc>
        <w:tc>
          <w:tcPr>
            <w:tcW w:w="960" w:type="dxa"/>
          </w:tcPr>
          <w:p>
            <w:pPr>
              <w:pStyle w:val="7"/>
              <w:rPr>
                <w:rFonts w:ascii="Times New Roman"/>
                <w:sz w:val="14"/>
              </w:rPr>
            </w:pPr>
          </w:p>
          <w:p>
            <w:pPr>
              <w:pStyle w:val="7"/>
              <w:spacing w:before="1"/>
              <w:rPr>
                <w:rFonts w:ascii="Times New Roman"/>
                <w:sz w:val="19"/>
              </w:rPr>
            </w:pPr>
          </w:p>
          <w:p>
            <w:pPr>
              <w:pStyle w:val="7"/>
              <w:spacing w:before="1"/>
              <w:ind w:left="41" w:right="18"/>
              <w:jc w:val="center"/>
              <w:rPr>
                <w:sz w:val="14"/>
              </w:rPr>
            </w:pPr>
            <w:r>
              <w:rPr>
                <w:sz w:val="14"/>
              </w:rPr>
              <w:t>省林草局</w:t>
            </w:r>
          </w:p>
        </w:tc>
        <w:tc>
          <w:tcPr>
            <w:tcW w:w="1140" w:type="dxa"/>
          </w:tcPr>
          <w:p>
            <w:pPr>
              <w:pStyle w:val="7"/>
              <w:spacing w:before="5"/>
              <w:rPr>
                <w:rFonts w:ascii="Times New Roman"/>
                <w:sz w:val="17"/>
              </w:rPr>
            </w:pPr>
          </w:p>
          <w:p>
            <w:pPr>
              <w:pStyle w:val="7"/>
              <w:spacing w:before="1"/>
              <w:ind w:left="30" w:right="84"/>
              <w:jc w:val="both"/>
              <w:rPr>
                <w:sz w:val="14"/>
              </w:rPr>
            </w:pPr>
            <w:r>
              <w:rPr>
                <w:sz w:val="14"/>
              </w:rPr>
              <w:t>县级以上人民政府野生植物行政主管部门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4" w:hRule="atLeast"/>
        </w:trPr>
        <w:tc>
          <w:tcPr>
            <w:tcW w:w="456" w:type="dxa"/>
          </w:tcPr>
          <w:p>
            <w:pPr>
              <w:pStyle w:val="7"/>
              <w:rPr>
                <w:rFonts w:ascii="Times New Roman"/>
                <w:sz w:val="14"/>
              </w:rPr>
            </w:pPr>
          </w:p>
          <w:p>
            <w:pPr>
              <w:pStyle w:val="7"/>
              <w:spacing w:before="7"/>
              <w:rPr>
                <w:rFonts w:ascii="Times New Roman"/>
                <w:sz w:val="12"/>
              </w:rPr>
            </w:pPr>
          </w:p>
          <w:p>
            <w:pPr>
              <w:pStyle w:val="7"/>
              <w:spacing w:before="1"/>
              <w:ind w:left="29"/>
              <w:jc w:val="center"/>
              <w:rPr>
                <w:sz w:val="14"/>
              </w:rPr>
            </w:pPr>
            <w:r>
              <w:rPr>
                <w:sz w:val="14"/>
              </w:rPr>
              <w:t>35</w:t>
            </w:r>
          </w:p>
        </w:tc>
        <w:tc>
          <w:tcPr>
            <w:tcW w:w="2124" w:type="dxa"/>
          </w:tcPr>
          <w:p>
            <w:pPr>
              <w:pStyle w:val="7"/>
              <w:rPr>
                <w:rFonts w:ascii="Times New Roman"/>
                <w:sz w:val="11"/>
              </w:rPr>
            </w:pPr>
          </w:p>
          <w:p>
            <w:pPr>
              <w:pStyle w:val="7"/>
              <w:ind w:left="30" w:right="60"/>
              <w:jc w:val="both"/>
              <w:rPr>
                <w:sz w:val="14"/>
              </w:rPr>
            </w:pPr>
            <w:r>
              <w:rPr>
                <w:sz w:val="14"/>
              </w:rPr>
              <w:t>对未经批准私自采集或者采伐国家重点保护的天然种质资源的行为的处罚</w:t>
            </w:r>
          </w:p>
        </w:tc>
        <w:tc>
          <w:tcPr>
            <w:tcW w:w="840" w:type="dxa"/>
          </w:tcPr>
          <w:p>
            <w:pPr>
              <w:pStyle w:val="7"/>
              <w:rPr>
                <w:rFonts w:ascii="Times New Roman"/>
                <w:sz w:val="14"/>
              </w:rPr>
            </w:pPr>
          </w:p>
          <w:p>
            <w:pPr>
              <w:pStyle w:val="7"/>
              <w:spacing w:before="7"/>
              <w:rPr>
                <w:rFonts w:ascii="Times New Roman"/>
                <w:sz w:val="12"/>
              </w:rPr>
            </w:pPr>
          </w:p>
          <w:p>
            <w:pPr>
              <w:pStyle w:val="7"/>
              <w:spacing w:before="1"/>
              <w:ind w:left="24" w:right="1"/>
              <w:jc w:val="center"/>
              <w:rPr>
                <w:sz w:val="14"/>
              </w:rPr>
            </w:pPr>
            <w:r>
              <w:rPr>
                <w:sz w:val="14"/>
              </w:rPr>
              <w:t>行政处罚</w:t>
            </w:r>
          </w:p>
        </w:tc>
        <w:tc>
          <w:tcPr>
            <w:tcW w:w="10164" w:type="dxa"/>
          </w:tcPr>
          <w:p>
            <w:pPr>
              <w:pStyle w:val="7"/>
              <w:spacing w:before="11"/>
              <w:rPr>
                <w:rFonts w:ascii="Times New Roman"/>
                <w:sz w:val="18"/>
              </w:rPr>
            </w:pPr>
          </w:p>
          <w:p>
            <w:pPr>
              <w:pStyle w:val="7"/>
              <w:ind w:left="30" w:right="8"/>
              <w:rPr>
                <w:sz w:val="14"/>
              </w:rPr>
            </w:pPr>
            <w:r>
              <w:rPr>
                <w:b/>
                <w:sz w:val="14"/>
              </w:rPr>
              <w:t xml:space="preserve">《中华人民共和国种子法》第八十一条    </w:t>
            </w:r>
            <w:r>
              <w:rPr>
                <w:sz w:val="14"/>
              </w:rPr>
              <w:t>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tc>
        <w:tc>
          <w:tcPr>
            <w:tcW w:w="960" w:type="dxa"/>
          </w:tcPr>
          <w:p>
            <w:pPr>
              <w:pStyle w:val="7"/>
              <w:spacing w:before="11"/>
              <w:rPr>
                <w:rFonts w:ascii="Times New Roman"/>
                <w:sz w:val="18"/>
              </w:rPr>
            </w:pPr>
          </w:p>
          <w:p>
            <w:pPr>
              <w:pStyle w:val="7"/>
              <w:ind w:left="52"/>
              <w:rPr>
                <w:sz w:val="14"/>
              </w:rPr>
            </w:pPr>
            <w:r>
              <w:rPr>
                <w:sz w:val="14"/>
              </w:rPr>
              <w:t>省农业农村厅</w:t>
            </w:r>
          </w:p>
          <w:p>
            <w:pPr>
              <w:pStyle w:val="7"/>
              <w:ind w:left="124"/>
              <w:rPr>
                <w:sz w:val="14"/>
              </w:rPr>
            </w:pPr>
            <w:r>
              <w:rPr>
                <w:sz w:val="14"/>
              </w:rPr>
              <w:t>、省林草局</w:t>
            </w:r>
          </w:p>
        </w:tc>
        <w:tc>
          <w:tcPr>
            <w:tcW w:w="1140" w:type="dxa"/>
          </w:tcPr>
          <w:p>
            <w:pPr>
              <w:pStyle w:val="7"/>
              <w:rPr>
                <w:rFonts w:ascii="Times New Roman"/>
                <w:sz w:val="11"/>
              </w:rPr>
            </w:pPr>
          </w:p>
          <w:p>
            <w:pPr>
              <w:pStyle w:val="7"/>
              <w:ind w:left="30" w:right="84"/>
              <w:jc w:val="both"/>
              <w:rPr>
                <w:sz w:val="14"/>
              </w:rPr>
            </w:pPr>
            <w:r>
              <w:rPr>
                <w:sz w:val="14"/>
              </w:rPr>
              <w:t>县级以上人民政府农业、林业主管部门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5" w:hRule="atLeast"/>
        </w:trPr>
        <w:tc>
          <w:tcPr>
            <w:tcW w:w="456" w:type="dxa"/>
          </w:tcPr>
          <w:p>
            <w:pPr>
              <w:pStyle w:val="7"/>
              <w:rPr>
                <w:rFonts w:ascii="Times New Roman"/>
                <w:sz w:val="14"/>
              </w:rPr>
            </w:pPr>
          </w:p>
          <w:p>
            <w:pPr>
              <w:pStyle w:val="7"/>
              <w:rPr>
                <w:rFonts w:ascii="Times New Roman"/>
                <w:sz w:val="14"/>
              </w:rPr>
            </w:pPr>
          </w:p>
          <w:p>
            <w:pPr>
              <w:pStyle w:val="7"/>
              <w:rPr>
                <w:rFonts w:ascii="Times New Roman"/>
                <w:sz w:val="11"/>
              </w:rPr>
            </w:pPr>
          </w:p>
          <w:p>
            <w:pPr>
              <w:pStyle w:val="7"/>
              <w:ind w:left="29"/>
              <w:jc w:val="center"/>
              <w:rPr>
                <w:sz w:val="14"/>
              </w:rPr>
            </w:pPr>
            <w:r>
              <w:rPr>
                <w:sz w:val="14"/>
              </w:rPr>
              <w:t>36</w:t>
            </w:r>
          </w:p>
        </w:tc>
        <w:tc>
          <w:tcPr>
            <w:tcW w:w="2124" w:type="dxa"/>
          </w:tcPr>
          <w:p>
            <w:pPr>
              <w:pStyle w:val="7"/>
              <w:rPr>
                <w:rFonts w:ascii="Times New Roman"/>
                <w:sz w:val="14"/>
              </w:rPr>
            </w:pPr>
          </w:p>
          <w:p>
            <w:pPr>
              <w:pStyle w:val="7"/>
              <w:rPr>
                <w:rFonts w:ascii="Times New Roman"/>
                <w:sz w:val="17"/>
              </w:rPr>
            </w:pPr>
          </w:p>
          <w:p>
            <w:pPr>
              <w:pStyle w:val="7"/>
              <w:spacing w:before="1"/>
              <w:ind w:left="30" w:right="60"/>
              <w:rPr>
                <w:sz w:val="14"/>
              </w:rPr>
            </w:pPr>
            <w:r>
              <w:rPr>
                <w:sz w:val="14"/>
              </w:rPr>
              <w:t>对弄虚作假、虚报冒领补助资金的行为的处罚</w:t>
            </w:r>
          </w:p>
        </w:tc>
        <w:tc>
          <w:tcPr>
            <w:tcW w:w="840" w:type="dxa"/>
          </w:tcPr>
          <w:p>
            <w:pPr>
              <w:pStyle w:val="7"/>
              <w:rPr>
                <w:rFonts w:ascii="Times New Roman"/>
                <w:sz w:val="14"/>
              </w:rPr>
            </w:pPr>
          </w:p>
          <w:p>
            <w:pPr>
              <w:pStyle w:val="7"/>
              <w:rPr>
                <w:rFonts w:ascii="Times New Roman"/>
                <w:sz w:val="14"/>
              </w:rPr>
            </w:pPr>
          </w:p>
          <w:p>
            <w:pPr>
              <w:pStyle w:val="7"/>
              <w:rPr>
                <w:rFonts w:ascii="Times New Roman"/>
                <w:sz w:val="11"/>
              </w:rPr>
            </w:pPr>
          </w:p>
          <w:p>
            <w:pPr>
              <w:pStyle w:val="7"/>
              <w:ind w:left="24" w:right="1"/>
              <w:jc w:val="center"/>
              <w:rPr>
                <w:sz w:val="14"/>
              </w:rPr>
            </w:pPr>
            <w:r>
              <w:rPr>
                <w:sz w:val="14"/>
              </w:rPr>
              <w:t>行政处罚</w:t>
            </w:r>
          </w:p>
        </w:tc>
        <w:tc>
          <w:tcPr>
            <w:tcW w:w="10164" w:type="dxa"/>
          </w:tcPr>
          <w:p>
            <w:pPr>
              <w:pStyle w:val="7"/>
              <w:spacing w:before="88"/>
              <w:ind w:left="30" w:right="120"/>
              <w:rPr>
                <w:sz w:val="14"/>
              </w:rPr>
            </w:pPr>
            <w:r>
              <w:rPr>
                <w:b/>
                <w:sz w:val="14"/>
              </w:rPr>
              <w:t xml:space="preserve">《退耕还林条例》（国务院令第367号）第五十七条第一款第二项、第二款   </w:t>
            </w:r>
            <w:r>
              <w:rPr>
                <w:sz w:val="14"/>
              </w:rPr>
              <w:t>国家工作人员在退耕还林活动中违反本条例的规定，有下列行为之一的，依照刑法关于贪污罪、受贿罪、挪用公款罪或者其他罪的规定，依法追究刑事责任；尚不够刑事处罚的，依法给予行政处分：</w:t>
            </w:r>
          </w:p>
          <w:p>
            <w:pPr>
              <w:pStyle w:val="7"/>
              <w:spacing w:before="1"/>
              <w:ind w:left="30"/>
              <w:rPr>
                <w:sz w:val="14"/>
              </w:rPr>
            </w:pPr>
            <w:r>
              <w:rPr>
                <w:sz w:val="14"/>
              </w:rPr>
              <w:t>（二）弄虚作假、虚报冒领补助资金和粮食的；</w:t>
            </w:r>
          </w:p>
          <w:p>
            <w:pPr>
              <w:pStyle w:val="7"/>
              <w:spacing w:before="1"/>
              <w:ind w:left="30" w:right="36"/>
              <w:rPr>
                <w:sz w:val="14"/>
              </w:rPr>
            </w:pPr>
            <w:r>
              <w:rPr>
                <w:sz w:val="14"/>
              </w:rPr>
              <w:t>国家工作人员以外的其他人员有前款第（二）项行为的，依照刑法关于诈骗罪或者其他罪的规定，依法追究刑事责任；尚不够刑事处罚的，由县级以上人民政府   林业行政主管部门责令退回所冒领的补助资金和粮食，处以冒领资金额2倍以上5倍以下的罚款。</w:t>
            </w:r>
          </w:p>
        </w:tc>
        <w:tc>
          <w:tcPr>
            <w:tcW w:w="960" w:type="dxa"/>
          </w:tcPr>
          <w:p>
            <w:pPr>
              <w:pStyle w:val="7"/>
              <w:rPr>
                <w:rFonts w:ascii="Times New Roman"/>
                <w:sz w:val="14"/>
              </w:rPr>
            </w:pPr>
          </w:p>
          <w:p>
            <w:pPr>
              <w:pStyle w:val="7"/>
              <w:rPr>
                <w:rFonts w:ascii="Times New Roman"/>
                <w:sz w:val="14"/>
              </w:rPr>
            </w:pPr>
          </w:p>
          <w:p>
            <w:pPr>
              <w:pStyle w:val="7"/>
              <w:rPr>
                <w:rFonts w:ascii="Times New Roman"/>
                <w:sz w:val="11"/>
              </w:rPr>
            </w:pPr>
          </w:p>
          <w:p>
            <w:pPr>
              <w:pStyle w:val="7"/>
              <w:ind w:left="41" w:right="18"/>
              <w:jc w:val="center"/>
              <w:rPr>
                <w:sz w:val="14"/>
              </w:rPr>
            </w:pPr>
            <w:r>
              <w:rPr>
                <w:sz w:val="14"/>
              </w:rPr>
              <w:t>省林草局</w:t>
            </w:r>
          </w:p>
        </w:tc>
        <w:tc>
          <w:tcPr>
            <w:tcW w:w="1140" w:type="dxa"/>
          </w:tcPr>
          <w:p>
            <w:pPr>
              <w:pStyle w:val="7"/>
              <w:rPr>
                <w:rFonts w:ascii="Times New Roman"/>
                <w:sz w:val="14"/>
              </w:rPr>
            </w:pPr>
          </w:p>
          <w:p>
            <w:pPr>
              <w:pStyle w:val="7"/>
              <w:spacing w:before="107"/>
              <w:ind w:left="30" w:right="84"/>
              <w:jc w:val="both"/>
              <w:rPr>
                <w:sz w:val="14"/>
              </w:rPr>
            </w:pPr>
            <w:r>
              <w:rPr>
                <w:sz w:val="14"/>
              </w:rPr>
              <w:t>县级以上人民政府林业行政主管部门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456" w:type="dxa"/>
          </w:tcPr>
          <w:p>
            <w:pPr>
              <w:pStyle w:val="7"/>
              <w:rPr>
                <w:rFonts w:ascii="Times New Roman"/>
                <w:sz w:val="14"/>
              </w:rPr>
            </w:pPr>
          </w:p>
          <w:p>
            <w:pPr>
              <w:pStyle w:val="7"/>
              <w:spacing w:before="1"/>
              <w:rPr>
                <w:rFonts w:ascii="Times New Roman"/>
                <w:sz w:val="14"/>
              </w:rPr>
            </w:pPr>
          </w:p>
          <w:p>
            <w:pPr>
              <w:pStyle w:val="7"/>
              <w:ind w:left="29"/>
              <w:jc w:val="center"/>
              <w:rPr>
                <w:sz w:val="14"/>
              </w:rPr>
            </w:pPr>
            <w:r>
              <w:rPr>
                <w:sz w:val="14"/>
              </w:rPr>
              <w:t>37</w:t>
            </w:r>
          </w:p>
        </w:tc>
        <w:tc>
          <w:tcPr>
            <w:tcW w:w="2124" w:type="dxa"/>
          </w:tcPr>
          <w:p>
            <w:pPr>
              <w:pStyle w:val="7"/>
              <w:spacing w:before="52"/>
              <w:ind w:left="30" w:right="60"/>
              <w:jc w:val="both"/>
              <w:rPr>
                <w:sz w:val="14"/>
              </w:rPr>
            </w:pPr>
            <w:r>
              <w:rPr>
                <w:sz w:val="14"/>
              </w:rPr>
              <w:t>对违反规定拒绝接受森林防火检查或者接到森林火灾隐患整改通知书逾期不消除火灾隐患的行为的处罚</w:t>
            </w:r>
          </w:p>
        </w:tc>
        <w:tc>
          <w:tcPr>
            <w:tcW w:w="840" w:type="dxa"/>
          </w:tcPr>
          <w:p>
            <w:pPr>
              <w:pStyle w:val="7"/>
              <w:rPr>
                <w:rFonts w:ascii="Times New Roman"/>
                <w:sz w:val="14"/>
              </w:rPr>
            </w:pPr>
          </w:p>
          <w:p>
            <w:pPr>
              <w:pStyle w:val="7"/>
              <w:spacing w:before="1"/>
              <w:rPr>
                <w:rFonts w:ascii="Times New Roman"/>
                <w:sz w:val="14"/>
              </w:rPr>
            </w:pPr>
          </w:p>
          <w:p>
            <w:pPr>
              <w:pStyle w:val="7"/>
              <w:ind w:left="24" w:right="1"/>
              <w:jc w:val="center"/>
              <w:rPr>
                <w:sz w:val="14"/>
              </w:rPr>
            </w:pPr>
            <w:r>
              <w:rPr>
                <w:sz w:val="14"/>
              </w:rPr>
              <w:t>行政处罚</w:t>
            </w:r>
          </w:p>
        </w:tc>
        <w:tc>
          <w:tcPr>
            <w:tcW w:w="10164" w:type="dxa"/>
          </w:tcPr>
          <w:p>
            <w:pPr>
              <w:pStyle w:val="7"/>
              <w:spacing w:before="5"/>
              <w:rPr>
                <w:rFonts w:ascii="Times New Roman"/>
                <w:sz w:val="12"/>
              </w:rPr>
            </w:pPr>
          </w:p>
          <w:p>
            <w:pPr>
              <w:pStyle w:val="7"/>
              <w:ind w:left="30" w:right="27"/>
              <w:jc w:val="both"/>
              <w:rPr>
                <w:sz w:val="14"/>
              </w:rPr>
            </w:pPr>
            <w:r>
              <w:rPr>
                <w:b/>
                <w:sz w:val="14"/>
              </w:rPr>
              <w:t xml:space="preserve">《森林防火条例》（国务院令第541号）第四十九条    </w:t>
            </w:r>
            <w:r>
              <w:rPr>
                <w:sz w:val="14"/>
              </w:rPr>
              <w:t>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   以下罚款。</w:t>
            </w:r>
          </w:p>
        </w:tc>
        <w:tc>
          <w:tcPr>
            <w:tcW w:w="960" w:type="dxa"/>
          </w:tcPr>
          <w:p>
            <w:pPr>
              <w:pStyle w:val="7"/>
              <w:rPr>
                <w:rFonts w:ascii="Times New Roman"/>
                <w:sz w:val="14"/>
              </w:rPr>
            </w:pPr>
          </w:p>
          <w:p>
            <w:pPr>
              <w:pStyle w:val="7"/>
              <w:spacing w:before="1"/>
              <w:rPr>
                <w:rFonts w:ascii="Times New Roman"/>
                <w:sz w:val="14"/>
              </w:rPr>
            </w:pPr>
          </w:p>
          <w:p>
            <w:pPr>
              <w:pStyle w:val="7"/>
              <w:ind w:left="41" w:right="18"/>
              <w:jc w:val="center"/>
              <w:rPr>
                <w:sz w:val="14"/>
              </w:rPr>
            </w:pPr>
            <w:r>
              <w:rPr>
                <w:sz w:val="14"/>
              </w:rPr>
              <w:t>省林草局</w:t>
            </w:r>
          </w:p>
        </w:tc>
        <w:tc>
          <w:tcPr>
            <w:tcW w:w="1140" w:type="dxa"/>
          </w:tcPr>
          <w:p>
            <w:pPr>
              <w:pStyle w:val="7"/>
              <w:spacing w:before="2"/>
              <w:rPr>
                <w:rFonts w:ascii="Times New Roman"/>
                <w:sz w:val="20"/>
              </w:rPr>
            </w:pPr>
          </w:p>
          <w:p>
            <w:pPr>
              <w:pStyle w:val="7"/>
              <w:ind w:left="30" w:right="84"/>
              <w:rPr>
                <w:sz w:val="14"/>
              </w:rPr>
            </w:pPr>
            <w:r>
              <w:rPr>
                <w:sz w:val="14"/>
              </w:rPr>
              <w:t>县级以上人民政府林业主管部门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9" w:hRule="atLeast"/>
        </w:trPr>
        <w:tc>
          <w:tcPr>
            <w:tcW w:w="456" w:type="dxa"/>
          </w:tcPr>
          <w:p>
            <w:pPr>
              <w:pStyle w:val="7"/>
              <w:rPr>
                <w:rFonts w:ascii="Times New Roman"/>
                <w:sz w:val="14"/>
              </w:rPr>
            </w:pPr>
          </w:p>
          <w:p>
            <w:pPr>
              <w:pStyle w:val="7"/>
              <w:spacing w:before="3"/>
              <w:rPr>
                <w:rFonts w:ascii="Times New Roman"/>
                <w:sz w:val="13"/>
              </w:rPr>
            </w:pPr>
          </w:p>
          <w:p>
            <w:pPr>
              <w:pStyle w:val="7"/>
              <w:ind w:left="29"/>
              <w:jc w:val="center"/>
              <w:rPr>
                <w:sz w:val="14"/>
              </w:rPr>
            </w:pPr>
            <w:r>
              <w:rPr>
                <w:sz w:val="14"/>
              </w:rPr>
              <w:t>38</w:t>
            </w:r>
          </w:p>
        </w:tc>
        <w:tc>
          <w:tcPr>
            <w:tcW w:w="2124" w:type="dxa"/>
          </w:tcPr>
          <w:p>
            <w:pPr>
              <w:pStyle w:val="7"/>
              <w:spacing w:before="6"/>
              <w:rPr>
                <w:rFonts w:ascii="Times New Roman"/>
                <w:sz w:val="19"/>
              </w:rPr>
            </w:pPr>
          </w:p>
          <w:p>
            <w:pPr>
              <w:pStyle w:val="7"/>
              <w:spacing w:before="1"/>
              <w:ind w:left="30" w:right="60"/>
              <w:rPr>
                <w:sz w:val="14"/>
              </w:rPr>
            </w:pPr>
            <w:r>
              <w:rPr>
                <w:sz w:val="14"/>
              </w:rPr>
              <w:t>对违反规定擅自在森林防火区内野外用火的行为的处罚</w:t>
            </w:r>
          </w:p>
        </w:tc>
        <w:tc>
          <w:tcPr>
            <w:tcW w:w="840" w:type="dxa"/>
          </w:tcPr>
          <w:p>
            <w:pPr>
              <w:pStyle w:val="7"/>
              <w:rPr>
                <w:rFonts w:ascii="Times New Roman"/>
                <w:sz w:val="14"/>
              </w:rPr>
            </w:pPr>
          </w:p>
          <w:p>
            <w:pPr>
              <w:pStyle w:val="7"/>
              <w:spacing w:before="3"/>
              <w:rPr>
                <w:rFonts w:ascii="Times New Roman"/>
                <w:sz w:val="13"/>
              </w:rPr>
            </w:pPr>
          </w:p>
          <w:p>
            <w:pPr>
              <w:pStyle w:val="7"/>
              <w:ind w:left="24" w:right="1"/>
              <w:jc w:val="center"/>
              <w:rPr>
                <w:sz w:val="14"/>
              </w:rPr>
            </w:pPr>
            <w:r>
              <w:rPr>
                <w:sz w:val="14"/>
              </w:rPr>
              <w:t>行政处罚</w:t>
            </w:r>
          </w:p>
        </w:tc>
        <w:tc>
          <w:tcPr>
            <w:tcW w:w="10164" w:type="dxa"/>
          </w:tcPr>
          <w:p>
            <w:pPr>
              <w:pStyle w:val="7"/>
              <w:spacing w:before="6"/>
              <w:rPr>
                <w:rFonts w:ascii="Times New Roman"/>
                <w:sz w:val="19"/>
              </w:rPr>
            </w:pPr>
          </w:p>
          <w:p>
            <w:pPr>
              <w:pStyle w:val="7"/>
              <w:spacing w:before="1"/>
              <w:ind w:left="30" w:right="65"/>
              <w:rPr>
                <w:sz w:val="14"/>
              </w:rPr>
            </w:pPr>
            <w:r>
              <w:rPr>
                <w:b/>
                <w:sz w:val="14"/>
              </w:rPr>
              <w:t xml:space="preserve">《森林防火条例》（国务院令第541号）第五十条    </w:t>
            </w:r>
            <w:r>
              <w:rPr>
                <w:sz w:val="14"/>
              </w:rPr>
              <w:t>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tc>
        <w:tc>
          <w:tcPr>
            <w:tcW w:w="960" w:type="dxa"/>
          </w:tcPr>
          <w:p>
            <w:pPr>
              <w:pStyle w:val="7"/>
              <w:rPr>
                <w:rFonts w:ascii="Times New Roman"/>
                <w:sz w:val="14"/>
              </w:rPr>
            </w:pPr>
          </w:p>
          <w:p>
            <w:pPr>
              <w:pStyle w:val="7"/>
              <w:spacing w:before="3"/>
              <w:rPr>
                <w:rFonts w:ascii="Times New Roman"/>
                <w:sz w:val="13"/>
              </w:rPr>
            </w:pPr>
          </w:p>
          <w:p>
            <w:pPr>
              <w:pStyle w:val="7"/>
              <w:ind w:left="41" w:right="18"/>
              <w:jc w:val="center"/>
              <w:rPr>
                <w:sz w:val="14"/>
              </w:rPr>
            </w:pPr>
            <w:r>
              <w:rPr>
                <w:sz w:val="14"/>
              </w:rPr>
              <w:t>省林草局</w:t>
            </w:r>
          </w:p>
        </w:tc>
        <w:tc>
          <w:tcPr>
            <w:tcW w:w="1140" w:type="dxa"/>
          </w:tcPr>
          <w:p>
            <w:pPr>
              <w:pStyle w:val="7"/>
              <w:spacing w:before="6"/>
              <w:rPr>
                <w:rFonts w:ascii="Times New Roman"/>
                <w:sz w:val="19"/>
              </w:rPr>
            </w:pPr>
          </w:p>
          <w:p>
            <w:pPr>
              <w:pStyle w:val="7"/>
              <w:spacing w:before="1"/>
              <w:ind w:left="30" w:right="84"/>
              <w:rPr>
                <w:sz w:val="14"/>
              </w:rPr>
            </w:pPr>
            <w:r>
              <w:rPr>
                <w:sz w:val="14"/>
              </w:rPr>
              <w:t>县级以上人民政府林业主管部门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6" w:hRule="atLeast"/>
        </w:trPr>
        <w:tc>
          <w:tcPr>
            <w:tcW w:w="456" w:type="dxa"/>
          </w:tcPr>
          <w:p>
            <w:pPr>
              <w:pStyle w:val="7"/>
              <w:rPr>
                <w:rFonts w:ascii="Times New Roman"/>
                <w:sz w:val="14"/>
              </w:rPr>
            </w:pPr>
          </w:p>
          <w:p>
            <w:pPr>
              <w:pStyle w:val="7"/>
              <w:rPr>
                <w:rFonts w:ascii="Times New Roman"/>
                <w:sz w:val="14"/>
              </w:rPr>
            </w:pPr>
          </w:p>
          <w:p>
            <w:pPr>
              <w:pStyle w:val="7"/>
              <w:spacing w:before="2"/>
              <w:rPr>
                <w:rFonts w:ascii="Times New Roman"/>
                <w:sz w:val="20"/>
              </w:rPr>
            </w:pPr>
          </w:p>
          <w:p>
            <w:pPr>
              <w:pStyle w:val="7"/>
              <w:ind w:left="29"/>
              <w:jc w:val="center"/>
              <w:rPr>
                <w:sz w:val="14"/>
              </w:rPr>
            </w:pPr>
            <w:r>
              <w:rPr>
                <w:sz w:val="14"/>
              </w:rPr>
              <w:t>39</w:t>
            </w:r>
          </w:p>
        </w:tc>
        <w:tc>
          <w:tcPr>
            <w:tcW w:w="2124" w:type="dxa"/>
          </w:tcPr>
          <w:p>
            <w:pPr>
              <w:pStyle w:val="7"/>
              <w:rPr>
                <w:rFonts w:ascii="Times New Roman"/>
                <w:sz w:val="14"/>
              </w:rPr>
            </w:pPr>
          </w:p>
          <w:p>
            <w:pPr>
              <w:pStyle w:val="7"/>
              <w:spacing w:before="122"/>
              <w:ind w:left="30" w:right="60"/>
              <w:jc w:val="both"/>
              <w:rPr>
                <w:sz w:val="14"/>
              </w:rPr>
            </w:pPr>
            <w:r>
              <w:rPr>
                <w:sz w:val="14"/>
              </w:rPr>
              <w:t>对在文物建筑保护范围内吸烟、燃放烟花爆竹、点放孔明灯等使用明火行为的处罚</w:t>
            </w:r>
          </w:p>
          <w:p>
            <w:pPr>
              <w:pStyle w:val="7"/>
              <w:spacing w:before="1"/>
              <w:ind w:left="30"/>
              <w:jc w:val="both"/>
              <w:rPr>
                <w:sz w:val="14"/>
              </w:rPr>
            </w:pPr>
            <w:r>
              <w:rPr>
                <w:sz w:val="14"/>
              </w:rPr>
              <w:t>（依法适用简易程序的）</w:t>
            </w:r>
          </w:p>
        </w:tc>
        <w:tc>
          <w:tcPr>
            <w:tcW w:w="840" w:type="dxa"/>
          </w:tcPr>
          <w:p>
            <w:pPr>
              <w:pStyle w:val="7"/>
              <w:rPr>
                <w:rFonts w:ascii="Times New Roman"/>
                <w:sz w:val="14"/>
              </w:rPr>
            </w:pPr>
          </w:p>
          <w:p>
            <w:pPr>
              <w:pStyle w:val="7"/>
              <w:rPr>
                <w:rFonts w:ascii="Times New Roman"/>
                <w:sz w:val="14"/>
              </w:rPr>
            </w:pPr>
          </w:p>
          <w:p>
            <w:pPr>
              <w:pStyle w:val="7"/>
              <w:spacing w:before="2"/>
              <w:rPr>
                <w:rFonts w:ascii="Times New Roman"/>
                <w:sz w:val="20"/>
              </w:rPr>
            </w:pPr>
          </w:p>
          <w:p>
            <w:pPr>
              <w:pStyle w:val="7"/>
              <w:ind w:left="24" w:right="1"/>
              <w:jc w:val="center"/>
              <w:rPr>
                <w:sz w:val="14"/>
              </w:rPr>
            </w:pPr>
            <w:r>
              <w:rPr>
                <w:sz w:val="14"/>
              </w:rPr>
              <w:t>行政处罚</w:t>
            </w:r>
          </w:p>
        </w:tc>
        <w:tc>
          <w:tcPr>
            <w:tcW w:w="10164" w:type="dxa"/>
          </w:tcPr>
          <w:p>
            <w:pPr>
              <w:pStyle w:val="7"/>
              <w:spacing w:before="14"/>
              <w:ind w:left="30"/>
              <w:rPr>
                <w:sz w:val="14"/>
              </w:rPr>
            </w:pPr>
            <w:r>
              <w:rPr>
                <w:b/>
                <w:sz w:val="14"/>
              </w:rPr>
              <w:t xml:space="preserve">《中华人民共和国消防法》第六十三条 </w:t>
            </w:r>
            <w:r>
              <w:rPr>
                <w:sz w:val="14"/>
              </w:rPr>
              <w:t xml:space="preserve">违反本法规定，有下列行为之一的，处警告或者五百元以下罚款。                                        </w:t>
            </w:r>
          </w:p>
          <w:p>
            <w:pPr>
              <w:pStyle w:val="7"/>
              <w:ind w:left="30"/>
              <w:rPr>
                <w:sz w:val="14"/>
              </w:rPr>
            </w:pPr>
            <w:r>
              <w:rPr>
                <w:sz w:val="14"/>
              </w:rPr>
              <w:t>（一）违反消防安全规定进入生产、储存易燃易爆危险品场所的；</w:t>
            </w:r>
          </w:p>
          <w:p>
            <w:pPr>
              <w:pStyle w:val="7"/>
              <w:spacing w:before="1"/>
              <w:ind w:left="30"/>
              <w:rPr>
                <w:sz w:val="14"/>
              </w:rPr>
            </w:pPr>
            <w:r>
              <w:rPr>
                <w:sz w:val="14"/>
              </w:rPr>
              <w:t xml:space="preserve">（二）违反规定使用明火作业或者在具有火灾、爆炸危险的场所吸烟、使用明火的  </w:t>
            </w:r>
          </w:p>
          <w:p>
            <w:pPr>
              <w:pStyle w:val="7"/>
              <w:spacing w:before="1"/>
              <w:ind w:left="30" w:right="113"/>
              <w:rPr>
                <w:sz w:val="14"/>
              </w:rPr>
            </w:pPr>
            <w:r>
              <w:rPr>
                <w:w w:val="102"/>
                <w:sz w:val="14"/>
              </w:rPr>
              <w:t xml:space="preserve"> </w:t>
            </w:r>
            <w:r>
              <w:rPr>
                <w:b/>
                <w:sz w:val="14"/>
              </w:rPr>
              <w:t xml:space="preserve">《山西省文物建筑消防安全管理规定》（省政府令第281号）  第二十四条第一款  </w:t>
            </w:r>
            <w:r>
              <w:rPr>
                <w:sz w:val="14"/>
              </w:rPr>
              <w:t>在文物建筑保护范围内禁止吸烟、燃放烟花爆竹、点放孔明灯等使用明火行为。确需用火的，应当符合文物建筑消防安全管理行业标准的规定。</w:t>
            </w:r>
          </w:p>
          <w:p>
            <w:pPr>
              <w:pStyle w:val="7"/>
              <w:spacing w:before="1"/>
              <w:ind w:left="30"/>
              <w:rPr>
                <w:sz w:val="14"/>
              </w:rPr>
            </w:pPr>
            <w:r>
              <w:rPr>
                <w:b/>
                <w:sz w:val="14"/>
              </w:rPr>
              <w:t xml:space="preserve">第三十四条 </w:t>
            </w:r>
            <w:r>
              <w:rPr>
                <w:sz w:val="14"/>
              </w:rPr>
              <w:t>违反本规定的行为，法律、法规已经规定法律责任的，从其规定。</w:t>
            </w:r>
          </w:p>
        </w:tc>
        <w:tc>
          <w:tcPr>
            <w:tcW w:w="960" w:type="dxa"/>
          </w:tcPr>
          <w:p>
            <w:pPr>
              <w:pStyle w:val="7"/>
              <w:rPr>
                <w:rFonts w:ascii="Times New Roman"/>
                <w:sz w:val="14"/>
              </w:rPr>
            </w:pPr>
          </w:p>
          <w:p>
            <w:pPr>
              <w:pStyle w:val="7"/>
              <w:rPr>
                <w:rFonts w:ascii="Times New Roman"/>
                <w:sz w:val="14"/>
              </w:rPr>
            </w:pPr>
          </w:p>
          <w:p>
            <w:pPr>
              <w:pStyle w:val="7"/>
              <w:spacing w:before="2"/>
              <w:rPr>
                <w:rFonts w:ascii="Times New Roman"/>
                <w:sz w:val="12"/>
              </w:rPr>
            </w:pPr>
          </w:p>
          <w:p>
            <w:pPr>
              <w:pStyle w:val="7"/>
              <w:spacing w:before="1"/>
              <w:ind w:left="30" w:right="48"/>
              <w:rPr>
                <w:sz w:val="14"/>
              </w:rPr>
            </w:pPr>
            <w:r>
              <w:rPr>
                <w:sz w:val="14"/>
              </w:rPr>
              <w:t>省消防救援总队</w:t>
            </w:r>
          </w:p>
        </w:tc>
        <w:tc>
          <w:tcPr>
            <w:tcW w:w="1140" w:type="dxa"/>
          </w:tcPr>
          <w:p>
            <w:pPr>
              <w:pStyle w:val="7"/>
              <w:rPr>
                <w:rFonts w:ascii="Times New Roman"/>
                <w:sz w:val="14"/>
              </w:rPr>
            </w:pPr>
          </w:p>
          <w:p>
            <w:pPr>
              <w:pStyle w:val="7"/>
              <w:rPr>
                <w:rFonts w:ascii="Times New Roman"/>
                <w:sz w:val="14"/>
              </w:rPr>
            </w:pPr>
          </w:p>
          <w:p>
            <w:pPr>
              <w:pStyle w:val="7"/>
              <w:spacing w:before="2"/>
              <w:rPr>
                <w:rFonts w:ascii="Times New Roman"/>
                <w:sz w:val="12"/>
              </w:rPr>
            </w:pPr>
          </w:p>
          <w:p>
            <w:pPr>
              <w:pStyle w:val="7"/>
              <w:spacing w:before="1"/>
              <w:ind w:left="30" w:right="84"/>
              <w:rPr>
                <w:sz w:val="14"/>
              </w:rPr>
            </w:pPr>
            <w:r>
              <w:rPr>
                <w:sz w:val="14"/>
              </w:rPr>
              <w:t>县级以上消防救援机构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2" w:hRule="atLeast"/>
        </w:trPr>
        <w:tc>
          <w:tcPr>
            <w:tcW w:w="4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2"/>
              </w:rPr>
            </w:pPr>
          </w:p>
          <w:p>
            <w:pPr>
              <w:pStyle w:val="7"/>
              <w:ind w:left="29"/>
              <w:jc w:val="center"/>
              <w:rPr>
                <w:sz w:val="14"/>
              </w:rPr>
            </w:pPr>
            <w:r>
              <w:rPr>
                <w:sz w:val="14"/>
              </w:rPr>
              <w:t>40</w:t>
            </w:r>
          </w:p>
        </w:tc>
        <w:tc>
          <w:tcPr>
            <w:tcW w:w="2124" w:type="dxa"/>
          </w:tcPr>
          <w:p>
            <w:pPr>
              <w:pStyle w:val="7"/>
              <w:rPr>
                <w:rFonts w:ascii="Times New Roman"/>
                <w:sz w:val="14"/>
              </w:rPr>
            </w:pPr>
          </w:p>
          <w:p>
            <w:pPr>
              <w:pStyle w:val="7"/>
              <w:spacing w:before="105"/>
              <w:ind w:left="30" w:right="60"/>
              <w:jc w:val="both"/>
              <w:rPr>
                <w:sz w:val="14"/>
              </w:rPr>
            </w:pPr>
            <w:r>
              <w:rPr>
                <w:sz w:val="14"/>
              </w:rPr>
              <w:t>对埋压、圈占、遮挡消火栓、消防水泵接合器，占用、堵塞、封闭消防取水码头、消防水鹤等公共消防设施的行为的处罚</w:t>
            </w:r>
          </w:p>
          <w:p>
            <w:pPr>
              <w:pStyle w:val="7"/>
              <w:spacing w:before="2"/>
              <w:ind w:left="30"/>
              <w:jc w:val="both"/>
              <w:rPr>
                <w:sz w:val="14"/>
              </w:rPr>
            </w:pPr>
            <w:r>
              <w:rPr>
                <w:sz w:val="14"/>
              </w:rPr>
              <w:t>（依法适用简易程序的）</w:t>
            </w:r>
          </w:p>
        </w:tc>
        <w:tc>
          <w:tcPr>
            <w:tcW w:w="84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2"/>
              </w:rPr>
            </w:pPr>
          </w:p>
          <w:p>
            <w:pPr>
              <w:pStyle w:val="7"/>
              <w:ind w:left="24" w:right="1"/>
              <w:jc w:val="center"/>
              <w:rPr>
                <w:sz w:val="14"/>
              </w:rPr>
            </w:pPr>
            <w:r>
              <w:rPr>
                <w:sz w:val="14"/>
              </w:rPr>
              <w:t>行政处罚</w:t>
            </w:r>
          </w:p>
        </w:tc>
        <w:tc>
          <w:tcPr>
            <w:tcW w:w="10164" w:type="dxa"/>
          </w:tcPr>
          <w:p>
            <w:pPr>
              <w:pStyle w:val="7"/>
              <w:rPr>
                <w:rFonts w:ascii="Times New Roman"/>
                <w:sz w:val="14"/>
              </w:rPr>
            </w:pPr>
          </w:p>
          <w:p>
            <w:pPr>
              <w:pStyle w:val="7"/>
              <w:spacing w:before="102"/>
              <w:ind w:left="30" w:right="-15"/>
              <w:rPr>
                <w:sz w:val="14"/>
              </w:rPr>
            </w:pPr>
            <w:r>
              <w:rPr>
                <w:b/>
                <w:sz w:val="14"/>
              </w:rPr>
              <w:t xml:space="preserve">《中华人民共和国消防法》第六十条第一款第四项 </w:t>
            </w:r>
            <w:r>
              <w:rPr>
                <w:sz w:val="14"/>
              </w:rPr>
              <w:t>单位违反本法规定，有下列行为之一的，责令改正，处五千元以上五万元以下罚款；</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p>
          <w:p>
            <w:pPr>
              <w:pStyle w:val="7"/>
              <w:spacing w:before="1"/>
              <w:ind w:left="30"/>
              <w:rPr>
                <w:sz w:val="14"/>
              </w:rPr>
            </w:pPr>
            <w:r>
              <w:rPr>
                <w:sz w:val="14"/>
              </w:rPr>
              <w:t>（四）埋压、圈占、遮挡消火栓或者占用防火间距的；</w:t>
            </w:r>
          </w:p>
          <w:p>
            <w:pPr>
              <w:pStyle w:val="7"/>
              <w:spacing w:before="1" w:line="177" w:lineRule="exact"/>
              <w:ind w:left="30" w:right="-15"/>
              <w:rPr>
                <w:sz w:val="14"/>
              </w:rPr>
            </w:pPr>
            <w:r>
              <w:rPr>
                <w:sz w:val="14"/>
              </w:rPr>
              <w:t xml:space="preserve">个人有前款第二项、第三项、第四项、第五项行为之一的，处警告或者五百元以下罚款。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p>
          <w:p>
            <w:pPr>
              <w:pStyle w:val="7"/>
              <w:spacing w:line="254" w:lineRule="auto"/>
              <w:ind w:left="30" w:right="303"/>
              <w:rPr>
                <w:sz w:val="14"/>
              </w:rPr>
            </w:pPr>
            <w:r>
              <w:rPr>
                <w:b/>
                <w:sz w:val="14"/>
              </w:rPr>
              <w:t>《山西省消防条例》第十八条</w:t>
            </w:r>
            <w:r>
              <w:rPr>
                <w:rFonts w:ascii="Times New Roman" w:hAnsi="Times New Roman" w:eastAsia="Times New Roman"/>
                <w:b/>
                <w:sz w:val="14"/>
              </w:rPr>
              <w:t> </w:t>
            </w:r>
            <w:r>
              <w:rPr>
                <w:sz w:val="14"/>
              </w:rPr>
              <w:t xml:space="preserve">任何单位和个人不得埋压、圈占、遮挡消防水泵接合器，不得占用、堵塞、封闭消防取水码头、消防水鹤等公共消防设施。  </w:t>
            </w:r>
            <w:r>
              <w:rPr>
                <w:b/>
                <w:sz w:val="14"/>
              </w:rPr>
              <w:t xml:space="preserve">第四十四条 </w:t>
            </w:r>
            <w:r>
              <w:rPr>
                <w:sz w:val="14"/>
              </w:rPr>
              <w:t>违反本条例第十八条规定的，由消防救援机构责令改正，对单位并处五千元以上五万元以下罚款；对个人处警告或者五百元以下罚款。</w:t>
            </w:r>
          </w:p>
        </w:tc>
        <w:tc>
          <w:tcPr>
            <w:tcW w:w="960" w:type="dxa"/>
          </w:tcPr>
          <w:p>
            <w:pPr>
              <w:pStyle w:val="7"/>
              <w:rPr>
                <w:rFonts w:ascii="Times New Roman"/>
                <w:sz w:val="14"/>
              </w:rPr>
            </w:pPr>
          </w:p>
          <w:p>
            <w:pPr>
              <w:pStyle w:val="7"/>
              <w:rPr>
                <w:rFonts w:ascii="Times New Roman"/>
                <w:sz w:val="14"/>
              </w:rPr>
            </w:pPr>
          </w:p>
          <w:p>
            <w:pPr>
              <w:pStyle w:val="7"/>
              <w:spacing w:before="8"/>
              <w:rPr>
                <w:rFonts w:ascii="Times New Roman"/>
                <w:sz w:val="18"/>
              </w:rPr>
            </w:pPr>
          </w:p>
          <w:p>
            <w:pPr>
              <w:pStyle w:val="7"/>
              <w:ind w:left="30" w:right="48"/>
              <w:rPr>
                <w:sz w:val="14"/>
              </w:rPr>
            </w:pPr>
            <w:r>
              <w:rPr>
                <w:sz w:val="14"/>
              </w:rPr>
              <w:t>省消防救援总队</w:t>
            </w:r>
          </w:p>
        </w:tc>
        <w:tc>
          <w:tcPr>
            <w:tcW w:w="1140" w:type="dxa"/>
          </w:tcPr>
          <w:p>
            <w:pPr>
              <w:pStyle w:val="7"/>
              <w:rPr>
                <w:rFonts w:ascii="Times New Roman"/>
                <w:sz w:val="14"/>
              </w:rPr>
            </w:pPr>
          </w:p>
          <w:p>
            <w:pPr>
              <w:pStyle w:val="7"/>
              <w:rPr>
                <w:rFonts w:ascii="Times New Roman"/>
                <w:sz w:val="14"/>
              </w:rPr>
            </w:pPr>
          </w:p>
          <w:p>
            <w:pPr>
              <w:pStyle w:val="7"/>
              <w:spacing w:before="8"/>
              <w:rPr>
                <w:rFonts w:ascii="Times New Roman"/>
                <w:sz w:val="18"/>
              </w:rPr>
            </w:pPr>
          </w:p>
          <w:p>
            <w:pPr>
              <w:pStyle w:val="7"/>
              <w:ind w:left="30" w:right="84"/>
              <w:rPr>
                <w:sz w:val="14"/>
              </w:rPr>
            </w:pPr>
            <w:r>
              <w:rPr>
                <w:sz w:val="14"/>
              </w:rPr>
              <w:t>县级以上消防救援机构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456" w:type="dxa"/>
          </w:tcPr>
          <w:p>
            <w:pPr>
              <w:pStyle w:val="7"/>
              <w:rPr>
                <w:rFonts w:ascii="Times New Roman"/>
                <w:sz w:val="14"/>
              </w:rPr>
            </w:pPr>
          </w:p>
          <w:p>
            <w:pPr>
              <w:pStyle w:val="7"/>
              <w:rPr>
                <w:rFonts w:ascii="Times New Roman"/>
                <w:sz w:val="12"/>
              </w:rPr>
            </w:pPr>
          </w:p>
          <w:p>
            <w:pPr>
              <w:pStyle w:val="7"/>
              <w:ind w:left="29"/>
              <w:jc w:val="center"/>
              <w:rPr>
                <w:sz w:val="14"/>
              </w:rPr>
            </w:pPr>
            <w:r>
              <w:rPr>
                <w:sz w:val="14"/>
              </w:rPr>
              <w:t>41</w:t>
            </w:r>
          </w:p>
        </w:tc>
        <w:tc>
          <w:tcPr>
            <w:tcW w:w="2124" w:type="dxa"/>
          </w:tcPr>
          <w:p>
            <w:pPr>
              <w:pStyle w:val="7"/>
              <w:spacing w:before="119"/>
              <w:ind w:left="30" w:right="60"/>
              <w:rPr>
                <w:sz w:val="14"/>
              </w:rPr>
            </w:pPr>
            <w:r>
              <w:rPr>
                <w:sz w:val="14"/>
              </w:rPr>
              <w:t>对占用、堵塞、封闭消防车通 道，妨碍消防车通行的行为的处罚（依法适用简易程序的）</w:t>
            </w:r>
          </w:p>
        </w:tc>
        <w:tc>
          <w:tcPr>
            <w:tcW w:w="840" w:type="dxa"/>
          </w:tcPr>
          <w:p>
            <w:pPr>
              <w:pStyle w:val="7"/>
              <w:rPr>
                <w:rFonts w:ascii="Times New Roman"/>
                <w:sz w:val="14"/>
              </w:rPr>
            </w:pPr>
          </w:p>
          <w:p>
            <w:pPr>
              <w:pStyle w:val="7"/>
              <w:rPr>
                <w:rFonts w:ascii="Times New Roman"/>
                <w:sz w:val="12"/>
              </w:rPr>
            </w:pPr>
          </w:p>
          <w:p>
            <w:pPr>
              <w:pStyle w:val="7"/>
              <w:ind w:left="24" w:right="1"/>
              <w:jc w:val="center"/>
              <w:rPr>
                <w:sz w:val="14"/>
              </w:rPr>
            </w:pPr>
            <w:r>
              <w:rPr>
                <w:sz w:val="14"/>
              </w:rPr>
              <w:t>行政处罚</w:t>
            </w:r>
          </w:p>
        </w:tc>
        <w:tc>
          <w:tcPr>
            <w:tcW w:w="10164" w:type="dxa"/>
          </w:tcPr>
          <w:p>
            <w:pPr>
              <w:pStyle w:val="7"/>
              <w:spacing w:before="119"/>
              <w:ind w:left="30" w:right="-15"/>
              <w:rPr>
                <w:sz w:val="14"/>
              </w:rPr>
            </w:pPr>
            <w:r>
              <w:rPr>
                <w:b/>
                <w:spacing w:val="1"/>
                <w:sz w:val="14"/>
              </w:rPr>
              <w:t xml:space="preserve">《中华人民共和国消防法》第六十条第一款第五项、第二款 </w:t>
            </w:r>
            <w:r>
              <w:rPr>
                <w:sz w:val="14"/>
              </w:rPr>
              <w:t xml:space="preserve">单位违反本法规定，有下列行为之一的，责令改正，处五千元以上五万元以下罚款；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p>
          <w:p>
            <w:pPr>
              <w:pStyle w:val="7"/>
              <w:spacing w:before="1"/>
              <w:ind w:left="30"/>
              <w:rPr>
                <w:sz w:val="14"/>
              </w:rPr>
            </w:pPr>
            <w:r>
              <w:rPr>
                <w:sz w:val="14"/>
              </w:rPr>
              <w:t>（五）占用、堵塞、封闭消防车通道，妨碍消防车通行的；</w:t>
            </w:r>
          </w:p>
          <w:p>
            <w:pPr>
              <w:pStyle w:val="7"/>
              <w:spacing w:before="1"/>
              <w:ind w:left="30" w:right="-15"/>
              <w:rPr>
                <w:sz w:val="14"/>
              </w:rPr>
            </w:pPr>
            <w:r>
              <w:rPr>
                <w:sz w:val="14"/>
              </w:rPr>
              <w:t xml:space="preserve">个人有前款第二项、第三项、第四项、第五项行为之一的，处警告或者五百元以下罚款。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p>
        </w:tc>
        <w:tc>
          <w:tcPr>
            <w:tcW w:w="960" w:type="dxa"/>
          </w:tcPr>
          <w:p>
            <w:pPr>
              <w:pStyle w:val="7"/>
              <w:spacing w:before="1"/>
              <w:rPr>
                <w:rFonts w:ascii="Times New Roman"/>
                <w:sz w:val="18"/>
              </w:rPr>
            </w:pPr>
          </w:p>
          <w:p>
            <w:pPr>
              <w:pStyle w:val="7"/>
              <w:ind w:left="30" w:right="48"/>
              <w:rPr>
                <w:sz w:val="14"/>
              </w:rPr>
            </w:pPr>
            <w:r>
              <w:rPr>
                <w:sz w:val="14"/>
              </w:rPr>
              <w:t>省消防救援总队</w:t>
            </w:r>
          </w:p>
        </w:tc>
        <w:tc>
          <w:tcPr>
            <w:tcW w:w="1140" w:type="dxa"/>
          </w:tcPr>
          <w:p>
            <w:pPr>
              <w:pStyle w:val="7"/>
              <w:spacing w:before="1"/>
              <w:rPr>
                <w:rFonts w:ascii="Times New Roman"/>
                <w:sz w:val="18"/>
              </w:rPr>
            </w:pPr>
          </w:p>
          <w:p>
            <w:pPr>
              <w:pStyle w:val="7"/>
              <w:ind w:left="30" w:right="84"/>
              <w:rPr>
                <w:sz w:val="14"/>
              </w:rPr>
            </w:pPr>
            <w:r>
              <w:rPr>
                <w:sz w:val="14"/>
              </w:rPr>
              <w:t>县级以上消防救援机构</w:t>
            </w:r>
          </w:p>
        </w:tc>
      </w:tr>
    </w:tbl>
    <w:p>
      <w:pPr>
        <w:spacing w:after="0"/>
        <w:rPr>
          <w:sz w:val="14"/>
        </w:rPr>
        <w:sectPr>
          <w:pgSz w:w="16840" w:h="11910" w:orient="landscape"/>
          <w:pgMar w:top="1100" w:right="460" w:bottom="620" w:left="460" w:header="0" w:footer="437" w:gutter="0"/>
          <w:cols w:space="720" w:num="1"/>
        </w:sectPr>
      </w:pPr>
    </w:p>
    <w:p>
      <w:pPr>
        <w:pStyle w:val="2"/>
        <w:rPr>
          <w:rFonts w:ascii="Times New Roman"/>
          <w:sz w:val="20"/>
        </w:rPr>
      </w:pPr>
    </w:p>
    <w:p>
      <w:pPr>
        <w:pStyle w:val="2"/>
        <w:spacing w:before="5"/>
        <w:rPr>
          <w:rFonts w:ascii="Times New Roman"/>
          <w:sz w:val="16"/>
        </w:rPr>
      </w:pPr>
    </w:p>
    <w:tbl>
      <w:tblPr>
        <w:tblStyle w:val="3"/>
        <w:tblW w:w="0" w:type="auto"/>
        <w:tblInd w:w="1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6"/>
        <w:gridCol w:w="2124"/>
        <w:gridCol w:w="840"/>
        <w:gridCol w:w="10164"/>
        <w:gridCol w:w="960"/>
        <w:gridCol w:w="11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456" w:type="dxa"/>
          </w:tcPr>
          <w:p>
            <w:pPr>
              <w:pStyle w:val="7"/>
              <w:spacing w:before="113"/>
              <w:ind w:left="28"/>
              <w:jc w:val="center"/>
              <w:rPr>
                <w:rFonts w:hint="eastAsia" w:ascii="黑体" w:eastAsia="黑体"/>
                <w:sz w:val="19"/>
              </w:rPr>
            </w:pPr>
            <w:r>
              <w:rPr>
                <w:rFonts w:hint="eastAsia" w:ascii="黑体" w:eastAsia="黑体"/>
                <w:sz w:val="19"/>
              </w:rPr>
              <w:t>序号</w:t>
            </w:r>
          </w:p>
        </w:tc>
        <w:tc>
          <w:tcPr>
            <w:tcW w:w="2124" w:type="dxa"/>
          </w:tcPr>
          <w:p>
            <w:pPr>
              <w:pStyle w:val="7"/>
              <w:spacing w:before="113"/>
              <w:ind w:left="683"/>
              <w:rPr>
                <w:rFonts w:hint="eastAsia" w:ascii="黑体" w:eastAsia="黑体"/>
                <w:sz w:val="19"/>
              </w:rPr>
            </w:pPr>
            <w:r>
              <w:rPr>
                <w:rFonts w:hint="eastAsia" w:ascii="黑体" w:eastAsia="黑体"/>
                <w:sz w:val="19"/>
              </w:rPr>
              <w:t>职权名称</w:t>
            </w:r>
          </w:p>
        </w:tc>
        <w:tc>
          <w:tcPr>
            <w:tcW w:w="840" w:type="dxa"/>
          </w:tcPr>
          <w:p>
            <w:pPr>
              <w:pStyle w:val="7"/>
              <w:spacing w:before="113"/>
              <w:ind w:left="24" w:right="1"/>
              <w:jc w:val="center"/>
              <w:rPr>
                <w:rFonts w:hint="eastAsia" w:ascii="黑体" w:eastAsia="黑体"/>
                <w:sz w:val="19"/>
              </w:rPr>
            </w:pPr>
            <w:r>
              <w:rPr>
                <w:rFonts w:hint="eastAsia" w:ascii="黑体" w:eastAsia="黑体"/>
                <w:sz w:val="19"/>
              </w:rPr>
              <w:t>职权类型</w:t>
            </w:r>
          </w:p>
        </w:tc>
        <w:tc>
          <w:tcPr>
            <w:tcW w:w="10164" w:type="dxa"/>
          </w:tcPr>
          <w:p>
            <w:pPr>
              <w:pStyle w:val="7"/>
              <w:spacing w:before="113"/>
              <w:ind w:left="4687" w:right="4662"/>
              <w:jc w:val="center"/>
              <w:rPr>
                <w:rFonts w:hint="eastAsia" w:ascii="黑体" w:eastAsia="黑体"/>
                <w:sz w:val="19"/>
              </w:rPr>
            </w:pPr>
            <w:r>
              <w:rPr>
                <w:rFonts w:hint="eastAsia" w:ascii="黑体" w:eastAsia="黑体"/>
                <w:sz w:val="19"/>
              </w:rPr>
              <w:t>职权依据</w:t>
            </w:r>
          </w:p>
        </w:tc>
        <w:tc>
          <w:tcPr>
            <w:tcW w:w="960" w:type="dxa"/>
          </w:tcPr>
          <w:p>
            <w:pPr>
              <w:pStyle w:val="7"/>
              <w:spacing w:before="113"/>
              <w:ind w:left="41" w:right="18"/>
              <w:jc w:val="center"/>
              <w:rPr>
                <w:rFonts w:hint="eastAsia" w:ascii="黑体" w:eastAsia="黑体"/>
                <w:sz w:val="19"/>
              </w:rPr>
            </w:pPr>
            <w:r>
              <w:rPr>
                <w:rFonts w:hint="eastAsia" w:ascii="黑体" w:eastAsia="黑体"/>
                <w:sz w:val="19"/>
              </w:rPr>
              <w:t>主管部门</w:t>
            </w:r>
          </w:p>
        </w:tc>
        <w:tc>
          <w:tcPr>
            <w:tcW w:w="1140" w:type="dxa"/>
          </w:tcPr>
          <w:p>
            <w:pPr>
              <w:pStyle w:val="7"/>
              <w:spacing w:before="113"/>
              <w:ind w:left="95"/>
              <w:rPr>
                <w:rFonts w:hint="eastAsia" w:ascii="黑体" w:eastAsia="黑体"/>
                <w:sz w:val="19"/>
              </w:rPr>
            </w:pPr>
            <w:r>
              <w:rPr>
                <w:rFonts w:hint="eastAsia" w:ascii="黑体" w:eastAsia="黑体"/>
                <w:sz w:val="19"/>
              </w:rPr>
              <w:t>原实施主体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5" w:hRule="atLeast"/>
        </w:trPr>
        <w:tc>
          <w:tcPr>
            <w:tcW w:w="4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9"/>
              <w:ind w:left="29"/>
              <w:jc w:val="center"/>
              <w:rPr>
                <w:sz w:val="14"/>
              </w:rPr>
            </w:pPr>
            <w:r>
              <w:rPr>
                <w:sz w:val="14"/>
              </w:rPr>
              <w:t>42</w:t>
            </w:r>
          </w:p>
        </w:tc>
        <w:tc>
          <w:tcPr>
            <w:tcW w:w="2124" w:type="dxa"/>
          </w:tcPr>
          <w:p>
            <w:pPr>
              <w:pStyle w:val="7"/>
              <w:spacing w:before="8"/>
              <w:rPr>
                <w:rFonts w:ascii="Times New Roman"/>
                <w:sz w:val="17"/>
              </w:rPr>
            </w:pPr>
          </w:p>
          <w:p>
            <w:pPr>
              <w:pStyle w:val="7"/>
              <w:ind w:left="30" w:right="60"/>
              <w:jc w:val="both"/>
              <w:rPr>
                <w:sz w:val="14"/>
              </w:rPr>
            </w:pPr>
            <w:r>
              <w:rPr>
                <w:sz w:val="14"/>
              </w:rPr>
              <w:t>对在高层民用建筑的公共门厅、疏散走道、楼梯间、安全出口停放电动自行车或者为电动自行车充电等占用、堵塞、封闭疏散通道、安全出口或者有其他妨碍安全疏散且拒不改正的行为的处罚</w:t>
            </w:r>
          </w:p>
          <w:p>
            <w:pPr>
              <w:pStyle w:val="7"/>
              <w:spacing w:before="4"/>
              <w:ind w:left="30"/>
              <w:jc w:val="both"/>
              <w:rPr>
                <w:sz w:val="14"/>
              </w:rPr>
            </w:pPr>
            <w:r>
              <w:rPr>
                <w:sz w:val="14"/>
              </w:rPr>
              <w:t>（依法适用简易程序的）</w:t>
            </w:r>
          </w:p>
        </w:tc>
        <w:tc>
          <w:tcPr>
            <w:tcW w:w="84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9"/>
              <w:ind w:left="24" w:right="1"/>
              <w:jc w:val="center"/>
              <w:rPr>
                <w:sz w:val="14"/>
              </w:rPr>
            </w:pPr>
            <w:r>
              <w:rPr>
                <w:sz w:val="14"/>
              </w:rPr>
              <w:t>行政处罚</w:t>
            </w:r>
          </w:p>
        </w:tc>
        <w:tc>
          <w:tcPr>
            <w:tcW w:w="10164" w:type="dxa"/>
          </w:tcPr>
          <w:p>
            <w:pPr>
              <w:pStyle w:val="7"/>
              <w:spacing w:before="112"/>
              <w:ind w:left="30" w:right="-29"/>
              <w:rPr>
                <w:sz w:val="14"/>
              </w:rPr>
            </w:pPr>
            <w:r>
              <w:rPr>
                <w:b/>
                <w:spacing w:val="1"/>
                <w:sz w:val="14"/>
              </w:rPr>
              <w:t xml:space="preserve">《中华人民共和国消防法》第六十条第一款第三项、第二款 </w:t>
            </w:r>
            <w:r>
              <w:rPr>
                <w:sz w:val="14"/>
              </w:rPr>
              <w:t xml:space="preserve">单位违反本法规定，有下列行为之一的，责令改正，处五千元以上五万元以下罚款；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r>
              <w:rPr>
                <w:spacing w:val="2"/>
                <w:sz w:val="14"/>
              </w:rPr>
              <w:t xml:space="preserve"> </w:t>
            </w:r>
            <w:r>
              <w:rPr>
                <w:sz w:val="14"/>
              </w:rPr>
              <w:t xml:space="preserve"> </w:t>
            </w:r>
          </w:p>
          <w:p>
            <w:pPr>
              <w:pStyle w:val="7"/>
              <w:spacing w:before="1"/>
              <w:ind w:left="30"/>
              <w:rPr>
                <w:sz w:val="14"/>
              </w:rPr>
            </w:pPr>
            <w:r>
              <w:rPr>
                <w:sz w:val="14"/>
              </w:rPr>
              <w:t>（三）占用、堵塞、封闭疏散通道、安全出口或者有其他妨碍安全疏散行为的；</w:t>
            </w:r>
          </w:p>
          <w:p>
            <w:pPr>
              <w:pStyle w:val="7"/>
              <w:ind w:left="30"/>
              <w:rPr>
                <w:sz w:val="14"/>
              </w:rPr>
            </w:pPr>
            <w:r>
              <w:rPr>
                <w:sz w:val="14"/>
              </w:rPr>
              <w:t xml:space="preserve">个人有前款第二项、第三项、第四项、第五项行为之一的，处警告或者五百元以下罚款。  </w:t>
            </w:r>
            <w:r>
              <w:rPr>
                <w:b/>
                <w:w w:val="101"/>
                <w:sz w:val="14"/>
              </w:rPr>
              <w:t xml:space="preserve">  </w:t>
            </w:r>
            <w:r>
              <w:rPr>
                <w:w w:val="102"/>
                <w:sz w:val="14"/>
              </w:rPr>
              <w:t xml:space="preserve">                                                         </w:t>
            </w:r>
          </w:p>
          <w:p>
            <w:pPr>
              <w:pStyle w:val="7"/>
              <w:spacing w:before="1"/>
              <w:ind w:left="30"/>
              <w:rPr>
                <w:sz w:val="14"/>
              </w:rPr>
            </w:pPr>
            <w:r>
              <w:rPr>
                <w:b/>
                <w:sz w:val="14"/>
              </w:rPr>
              <w:t xml:space="preserve">《高层民用建筑消防安全管理规定》第三十七条第一款 </w:t>
            </w:r>
            <w:r>
              <w:rPr>
                <w:sz w:val="14"/>
              </w:rPr>
              <w:t>禁止在高层民用建筑公共门厅、疏散走道、楼梯间、安全出口停放电动自行车或者为电动自行车充电</w:t>
            </w:r>
          </w:p>
          <w:p>
            <w:pPr>
              <w:pStyle w:val="7"/>
              <w:spacing w:before="1"/>
              <w:ind w:left="30"/>
              <w:rPr>
                <w:sz w:val="14"/>
              </w:rPr>
            </w:pPr>
            <w:r>
              <w:rPr>
                <w:w w:val="102"/>
                <w:sz w:val="14"/>
              </w:rPr>
              <w:t>。</w:t>
            </w:r>
          </w:p>
          <w:p>
            <w:pPr>
              <w:pStyle w:val="7"/>
              <w:ind w:left="30" w:right="80"/>
              <w:rPr>
                <w:sz w:val="14"/>
              </w:rPr>
            </w:pPr>
            <w:r>
              <w:rPr>
                <w:b/>
                <w:sz w:val="14"/>
              </w:rPr>
              <w:t xml:space="preserve">第四十七条第一款第七项    </w:t>
            </w:r>
            <w:r>
              <w:rPr>
                <w:sz w:val="14"/>
              </w:rPr>
              <w:t xml:space="preserve">违反本规定，有下列行为之一的，由消防救援机构责令改正，对经营性单位和个人处2000元以上10000元以下罚款，对非经营性单位和个人处500元以上1000元以下罚款。                                                                                  </w:t>
            </w:r>
          </w:p>
          <w:p>
            <w:pPr>
              <w:pStyle w:val="7"/>
              <w:spacing w:before="2"/>
              <w:ind w:left="30"/>
              <w:rPr>
                <w:sz w:val="14"/>
              </w:rPr>
            </w:pPr>
            <w:r>
              <w:rPr>
                <w:sz w:val="14"/>
              </w:rPr>
              <w:t>（七）在高层民用建筑的公共门厅、疏散走道、楼梯间、安全出口停放电动自行车或者为电动自行车充电，拒不改正的。</w:t>
            </w:r>
          </w:p>
        </w:tc>
        <w:tc>
          <w:tcPr>
            <w:tcW w:w="96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4"/>
              </w:rPr>
            </w:pPr>
          </w:p>
          <w:p>
            <w:pPr>
              <w:pStyle w:val="7"/>
              <w:ind w:left="30" w:right="48"/>
              <w:rPr>
                <w:sz w:val="14"/>
              </w:rPr>
            </w:pPr>
            <w:r>
              <w:rPr>
                <w:sz w:val="14"/>
              </w:rPr>
              <w:t>省消防救援总队</w:t>
            </w:r>
          </w:p>
        </w:tc>
        <w:tc>
          <w:tcPr>
            <w:tcW w:w="114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4"/>
              </w:rPr>
            </w:pPr>
          </w:p>
          <w:p>
            <w:pPr>
              <w:pStyle w:val="7"/>
              <w:ind w:left="30" w:right="84"/>
              <w:rPr>
                <w:sz w:val="14"/>
              </w:rPr>
            </w:pPr>
            <w:r>
              <w:rPr>
                <w:sz w:val="14"/>
              </w:rPr>
              <w:t>县级以上消防救援机构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3" w:hRule="atLeast"/>
        </w:trPr>
        <w:tc>
          <w:tcPr>
            <w:tcW w:w="456" w:type="dxa"/>
          </w:tcPr>
          <w:p>
            <w:pPr>
              <w:pStyle w:val="7"/>
              <w:rPr>
                <w:rFonts w:ascii="Times New Roman"/>
                <w:sz w:val="14"/>
              </w:rPr>
            </w:pPr>
          </w:p>
          <w:p>
            <w:pPr>
              <w:pStyle w:val="7"/>
              <w:spacing w:before="95"/>
              <w:ind w:left="29"/>
              <w:jc w:val="center"/>
              <w:rPr>
                <w:sz w:val="14"/>
              </w:rPr>
            </w:pPr>
            <w:r>
              <w:rPr>
                <w:sz w:val="14"/>
              </w:rPr>
              <w:t>43</w:t>
            </w:r>
          </w:p>
        </w:tc>
        <w:tc>
          <w:tcPr>
            <w:tcW w:w="2124" w:type="dxa"/>
          </w:tcPr>
          <w:p>
            <w:pPr>
              <w:pStyle w:val="7"/>
              <w:spacing w:before="6"/>
              <w:rPr>
                <w:rFonts w:ascii="Times New Roman"/>
                <w:sz w:val="14"/>
              </w:rPr>
            </w:pPr>
          </w:p>
          <w:p>
            <w:pPr>
              <w:pStyle w:val="7"/>
              <w:ind w:left="30" w:right="60"/>
              <w:rPr>
                <w:sz w:val="14"/>
              </w:rPr>
            </w:pPr>
            <w:r>
              <w:rPr>
                <w:sz w:val="14"/>
              </w:rPr>
              <w:t>对销售种子应当包装而没有包装的行为的处罚</w:t>
            </w:r>
          </w:p>
        </w:tc>
        <w:tc>
          <w:tcPr>
            <w:tcW w:w="840" w:type="dxa"/>
          </w:tcPr>
          <w:p>
            <w:pPr>
              <w:pStyle w:val="7"/>
              <w:rPr>
                <w:rFonts w:ascii="Times New Roman"/>
                <w:sz w:val="14"/>
              </w:rPr>
            </w:pPr>
          </w:p>
          <w:p>
            <w:pPr>
              <w:pStyle w:val="7"/>
              <w:spacing w:before="95"/>
              <w:ind w:left="24" w:right="1"/>
              <w:jc w:val="center"/>
              <w:rPr>
                <w:sz w:val="14"/>
              </w:rPr>
            </w:pPr>
            <w:r>
              <w:rPr>
                <w:sz w:val="14"/>
              </w:rPr>
              <w:t>行政处罚</w:t>
            </w:r>
          </w:p>
        </w:tc>
        <w:tc>
          <w:tcPr>
            <w:tcW w:w="10164" w:type="dxa"/>
          </w:tcPr>
          <w:p>
            <w:pPr>
              <w:pStyle w:val="7"/>
              <w:spacing w:before="76"/>
              <w:ind w:left="30" w:right="144"/>
              <w:rPr>
                <w:sz w:val="14"/>
              </w:rPr>
            </w:pPr>
            <w:r>
              <w:rPr>
                <w:b/>
                <w:sz w:val="14"/>
              </w:rPr>
              <w:t xml:space="preserve">《中华人民共和国种子法》第七十九条第一款第一项    </w:t>
            </w:r>
            <w:r>
              <w:rPr>
                <w:sz w:val="14"/>
              </w:rPr>
              <w:t>违反本法第三十六条、第三十八条、第三十九条、第四十条规定，有下列行为之一的，由县级以上人民政府农业农村、林业草原主管部门责令改正，处二千元以上二万元以下罚款：</w:t>
            </w:r>
          </w:p>
          <w:p>
            <w:pPr>
              <w:pStyle w:val="7"/>
              <w:spacing w:before="1"/>
              <w:ind w:left="30"/>
              <w:rPr>
                <w:sz w:val="14"/>
              </w:rPr>
            </w:pPr>
            <w:r>
              <w:rPr>
                <w:sz w:val="14"/>
              </w:rPr>
              <w:t>（一）销售的种子应当包装而没有包装的；</w:t>
            </w:r>
          </w:p>
        </w:tc>
        <w:tc>
          <w:tcPr>
            <w:tcW w:w="960" w:type="dxa"/>
          </w:tcPr>
          <w:p>
            <w:pPr>
              <w:pStyle w:val="7"/>
              <w:spacing w:before="6"/>
              <w:rPr>
                <w:rFonts w:ascii="Times New Roman"/>
                <w:sz w:val="14"/>
              </w:rPr>
            </w:pPr>
          </w:p>
          <w:p>
            <w:pPr>
              <w:pStyle w:val="7"/>
              <w:ind w:left="52"/>
              <w:rPr>
                <w:sz w:val="14"/>
              </w:rPr>
            </w:pPr>
            <w:r>
              <w:rPr>
                <w:sz w:val="14"/>
              </w:rPr>
              <w:t>省农业农村厅</w:t>
            </w:r>
          </w:p>
          <w:p>
            <w:pPr>
              <w:pStyle w:val="7"/>
              <w:spacing w:before="1"/>
              <w:ind w:left="124"/>
              <w:rPr>
                <w:sz w:val="14"/>
              </w:rPr>
            </w:pPr>
            <w:r>
              <w:rPr>
                <w:sz w:val="14"/>
              </w:rPr>
              <w:t>、省林草局</w:t>
            </w:r>
          </w:p>
        </w:tc>
        <w:tc>
          <w:tcPr>
            <w:tcW w:w="1140" w:type="dxa"/>
          </w:tcPr>
          <w:p>
            <w:pPr>
              <w:pStyle w:val="7"/>
              <w:spacing w:before="76"/>
              <w:ind w:left="30" w:right="84"/>
              <w:jc w:val="both"/>
              <w:rPr>
                <w:sz w:val="14"/>
              </w:rPr>
            </w:pPr>
            <w:r>
              <w:rPr>
                <w:sz w:val="14"/>
              </w:rPr>
              <w:t>县级以上人民政府农业农村、林业草原主管部门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456" w:type="dxa"/>
          </w:tcPr>
          <w:p>
            <w:pPr>
              <w:pStyle w:val="7"/>
              <w:spacing w:before="2"/>
              <w:rPr>
                <w:rFonts w:ascii="Times New Roman"/>
                <w:sz w:val="20"/>
              </w:rPr>
            </w:pPr>
          </w:p>
          <w:p>
            <w:pPr>
              <w:pStyle w:val="7"/>
              <w:ind w:left="29"/>
              <w:jc w:val="center"/>
              <w:rPr>
                <w:sz w:val="14"/>
              </w:rPr>
            </w:pPr>
            <w:r>
              <w:rPr>
                <w:sz w:val="14"/>
              </w:rPr>
              <w:t>44</w:t>
            </w:r>
          </w:p>
        </w:tc>
        <w:tc>
          <w:tcPr>
            <w:tcW w:w="2124" w:type="dxa"/>
          </w:tcPr>
          <w:p>
            <w:pPr>
              <w:pStyle w:val="7"/>
              <w:spacing w:before="5"/>
              <w:rPr>
                <w:rFonts w:ascii="Times New Roman"/>
                <w:sz w:val="12"/>
              </w:rPr>
            </w:pPr>
          </w:p>
          <w:p>
            <w:pPr>
              <w:pStyle w:val="7"/>
              <w:ind w:left="30" w:right="60"/>
              <w:rPr>
                <w:sz w:val="14"/>
              </w:rPr>
            </w:pPr>
            <w:r>
              <w:rPr>
                <w:sz w:val="14"/>
              </w:rPr>
              <w:t>对生产、销售未取得登记证的肥料产品的行为的处罚</w:t>
            </w:r>
          </w:p>
        </w:tc>
        <w:tc>
          <w:tcPr>
            <w:tcW w:w="840" w:type="dxa"/>
          </w:tcPr>
          <w:p>
            <w:pPr>
              <w:pStyle w:val="7"/>
              <w:spacing w:before="2"/>
              <w:rPr>
                <w:rFonts w:ascii="Times New Roman"/>
                <w:sz w:val="20"/>
              </w:rPr>
            </w:pPr>
          </w:p>
          <w:p>
            <w:pPr>
              <w:pStyle w:val="7"/>
              <w:ind w:left="24" w:right="1"/>
              <w:jc w:val="center"/>
              <w:rPr>
                <w:sz w:val="14"/>
              </w:rPr>
            </w:pPr>
            <w:r>
              <w:rPr>
                <w:sz w:val="14"/>
              </w:rPr>
              <w:t>行政处罚</w:t>
            </w:r>
          </w:p>
        </w:tc>
        <w:tc>
          <w:tcPr>
            <w:tcW w:w="10164" w:type="dxa"/>
          </w:tcPr>
          <w:p>
            <w:pPr>
              <w:pStyle w:val="7"/>
              <w:spacing w:before="52"/>
              <w:ind w:left="30" w:right="46"/>
              <w:rPr>
                <w:sz w:val="14"/>
              </w:rPr>
            </w:pPr>
            <w:r>
              <w:rPr>
                <w:b/>
                <w:sz w:val="14"/>
              </w:rPr>
              <w:t xml:space="preserve">《肥料登记管理办法》 （2000年农业部令第32号公布 2022年农业农村部令2022年第1号修订）第二十六条 第一款 第一项 </w:t>
            </w:r>
            <w:r>
              <w:rPr>
                <w:sz w:val="14"/>
              </w:rPr>
              <w:t>有下列情形之一的，由县级以上农业行政主管部门给予警告，并处违法所得3倍以下罚款，但最高不得超过30000元;没有违法所得的，处10000元以下罚款:</w:t>
            </w:r>
          </w:p>
          <w:p>
            <w:pPr>
              <w:pStyle w:val="7"/>
              <w:spacing w:before="1"/>
              <w:ind w:left="30"/>
              <w:rPr>
                <w:sz w:val="14"/>
              </w:rPr>
            </w:pPr>
            <w:r>
              <w:rPr>
                <w:sz w:val="14"/>
              </w:rPr>
              <w:t>(一)生产、销售未取得登记证的肥料产品;</w:t>
            </w:r>
          </w:p>
        </w:tc>
        <w:tc>
          <w:tcPr>
            <w:tcW w:w="960" w:type="dxa"/>
          </w:tcPr>
          <w:p>
            <w:pPr>
              <w:pStyle w:val="7"/>
              <w:spacing w:before="2"/>
              <w:rPr>
                <w:rFonts w:ascii="Times New Roman"/>
                <w:sz w:val="20"/>
              </w:rPr>
            </w:pPr>
          </w:p>
          <w:p>
            <w:pPr>
              <w:pStyle w:val="7"/>
              <w:ind w:left="41" w:right="18"/>
              <w:jc w:val="center"/>
              <w:rPr>
                <w:sz w:val="14"/>
              </w:rPr>
            </w:pPr>
            <w:r>
              <w:rPr>
                <w:sz w:val="14"/>
              </w:rPr>
              <w:t>省农业农村厅</w:t>
            </w:r>
          </w:p>
        </w:tc>
        <w:tc>
          <w:tcPr>
            <w:tcW w:w="1140" w:type="dxa"/>
          </w:tcPr>
          <w:p>
            <w:pPr>
              <w:pStyle w:val="7"/>
              <w:spacing w:before="5"/>
              <w:rPr>
                <w:rFonts w:ascii="Times New Roman"/>
                <w:sz w:val="12"/>
              </w:rPr>
            </w:pPr>
          </w:p>
          <w:p>
            <w:pPr>
              <w:pStyle w:val="7"/>
              <w:ind w:left="30" w:right="84"/>
              <w:rPr>
                <w:sz w:val="14"/>
              </w:rPr>
            </w:pPr>
            <w:r>
              <w:rPr>
                <w:sz w:val="14"/>
              </w:rPr>
              <w:t>县级以上农业行政主管部门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456" w:type="dxa"/>
          </w:tcPr>
          <w:p>
            <w:pPr>
              <w:pStyle w:val="7"/>
              <w:rPr>
                <w:rFonts w:ascii="Times New Roman"/>
                <w:sz w:val="14"/>
              </w:rPr>
            </w:pPr>
          </w:p>
          <w:p>
            <w:pPr>
              <w:pStyle w:val="7"/>
              <w:rPr>
                <w:rFonts w:ascii="Times New Roman"/>
                <w:sz w:val="12"/>
              </w:rPr>
            </w:pPr>
          </w:p>
          <w:p>
            <w:pPr>
              <w:pStyle w:val="7"/>
              <w:ind w:left="29"/>
              <w:jc w:val="center"/>
              <w:rPr>
                <w:sz w:val="14"/>
              </w:rPr>
            </w:pPr>
            <w:r>
              <w:rPr>
                <w:sz w:val="14"/>
              </w:rPr>
              <w:t>45</w:t>
            </w:r>
          </w:p>
        </w:tc>
        <w:tc>
          <w:tcPr>
            <w:tcW w:w="2124" w:type="dxa"/>
          </w:tcPr>
          <w:p>
            <w:pPr>
              <w:pStyle w:val="7"/>
              <w:spacing w:before="1"/>
              <w:rPr>
                <w:rFonts w:ascii="Times New Roman"/>
                <w:sz w:val="18"/>
              </w:rPr>
            </w:pPr>
          </w:p>
          <w:p>
            <w:pPr>
              <w:pStyle w:val="7"/>
              <w:ind w:left="30" w:right="60"/>
              <w:rPr>
                <w:sz w:val="14"/>
              </w:rPr>
            </w:pPr>
            <w:r>
              <w:rPr>
                <w:sz w:val="14"/>
              </w:rPr>
              <w:t>对农药经营者未取得农药经营许可证经营农药的行为的处罚</w:t>
            </w:r>
          </w:p>
        </w:tc>
        <w:tc>
          <w:tcPr>
            <w:tcW w:w="840" w:type="dxa"/>
          </w:tcPr>
          <w:p>
            <w:pPr>
              <w:pStyle w:val="7"/>
              <w:rPr>
                <w:rFonts w:ascii="Times New Roman"/>
                <w:sz w:val="14"/>
              </w:rPr>
            </w:pPr>
          </w:p>
          <w:p>
            <w:pPr>
              <w:pStyle w:val="7"/>
              <w:rPr>
                <w:rFonts w:ascii="Times New Roman"/>
                <w:sz w:val="12"/>
              </w:rPr>
            </w:pPr>
          </w:p>
          <w:p>
            <w:pPr>
              <w:pStyle w:val="7"/>
              <w:ind w:left="24" w:right="1"/>
              <w:jc w:val="center"/>
              <w:rPr>
                <w:sz w:val="14"/>
              </w:rPr>
            </w:pPr>
            <w:r>
              <w:rPr>
                <w:sz w:val="14"/>
              </w:rPr>
              <w:t>行政处罚</w:t>
            </w:r>
          </w:p>
        </w:tc>
        <w:tc>
          <w:tcPr>
            <w:tcW w:w="10164" w:type="dxa"/>
          </w:tcPr>
          <w:p>
            <w:pPr>
              <w:pStyle w:val="7"/>
              <w:spacing w:before="119"/>
              <w:ind w:left="30" w:right="17"/>
              <w:jc w:val="both"/>
              <w:rPr>
                <w:sz w:val="14"/>
              </w:rPr>
            </w:pPr>
            <w:r>
              <w:rPr>
                <w:b/>
                <w:spacing w:val="6"/>
                <w:sz w:val="14"/>
              </w:rPr>
              <w:t xml:space="preserve">《农药管理条例》 </w:t>
            </w:r>
            <w:r>
              <w:rPr>
                <w:b/>
                <w:spacing w:val="2"/>
                <w:sz w:val="14"/>
              </w:rPr>
              <w:t>（1997</w:t>
            </w:r>
            <w:r>
              <w:rPr>
                <w:b/>
                <w:sz w:val="14"/>
              </w:rPr>
              <w:t>年国务院令第</w:t>
            </w:r>
            <w:r>
              <w:rPr>
                <w:b/>
                <w:spacing w:val="3"/>
                <w:sz w:val="14"/>
              </w:rPr>
              <w:t>216</w:t>
            </w:r>
            <w:r>
              <w:rPr>
                <w:b/>
                <w:spacing w:val="30"/>
                <w:sz w:val="14"/>
              </w:rPr>
              <w:t xml:space="preserve">号 </w:t>
            </w:r>
            <w:r>
              <w:rPr>
                <w:b/>
                <w:spacing w:val="2"/>
                <w:sz w:val="14"/>
              </w:rPr>
              <w:t>2022</w:t>
            </w:r>
            <w:r>
              <w:rPr>
                <w:b/>
                <w:sz w:val="14"/>
              </w:rPr>
              <w:t>年修订</w:t>
            </w:r>
            <w:r>
              <w:rPr>
                <w:b/>
                <w:spacing w:val="3"/>
                <w:sz w:val="14"/>
              </w:rPr>
              <w:t>）</w:t>
            </w:r>
            <w:r>
              <w:rPr>
                <w:b/>
                <w:spacing w:val="2"/>
                <w:sz w:val="14"/>
              </w:rPr>
              <w:t xml:space="preserve">第五十五条第一款第一项   </w:t>
            </w:r>
            <w:r>
              <w:rPr>
                <w:sz w:val="14"/>
              </w:rPr>
              <w:t>农药经营者有下列行为之一的，由县级以上地方人民政府农业主管部门责令停止经营，没收违法所得、违法经营的农药和用于违法经营的工具、设备等，违法经营的农药货值金额不足1万元的，并处5000元以上5万元以下罚款，货值   金额1万元以上的，并处货值金额5倍以上10倍以下罚款；构成犯罪的，依法追究刑事责任：（一）违反本条例规定，未取得农药经营许可证经营农药；</w:t>
            </w:r>
          </w:p>
        </w:tc>
        <w:tc>
          <w:tcPr>
            <w:tcW w:w="960" w:type="dxa"/>
          </w:tcPr>
          <w:p>
            <w:pPr>
              <w:pStyle w:val="7"/>
              <w:rPr>
                <w:rFonts w:ascii="Times New Roman"/>
                <w:sz w:val="14"/>
              </w:rPr>
            </w:pPr>
          </w:p>
          <w:p>
            <w:pPr>
              <w:pStyle w:val="7"/>
              <w:rPr>
                <w:rFonts w:ascii="Times New Roman"/>
                <w:sz w:val="12"/>
              </w:rPr>
            </w:pPr>
          </w:p>
          <w:p>
            <w:pPr>
              <w:pStyle w:val="7"/>
              <w:ind w:left="41" w:right="18"/>
              <w:jc w:val="center"/>
              <w:rPr>
                <w:sz w:val="14"/>
              </w:rPr>
            </w:pPr>
            <w:r>
              <w:rPr>
                <w:sz w:val="14"/>
              </w:rPr>
              <w:t>省农业农村厅</w:t>
            </w:r>
          </w:p>
        </w:tc>
        <w:tc>
          <w:tcPr>
            <w:tcW w:w="1140" w:type="dxa"/>
          </w:tcPr>
          <w:p>
            <w:pPr>
              <w:pStyle w:val="7"/>
              <w:spacing w:before="119"/>
              <w:ind w:left="30" w:right="84"/>
              <w:jc w:val="both"/>
              <w:rPr>
                <w:sz w:val="14"/>
              </w:rPr>
            </w:pPr>
            <w:r>
              <w:rPr>
                <w:sz w:val="14"/>
              </w:rPr>
              <w:t>县级以上地方人民政府农业主管部门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8" w:hRule="atLeast"/>
        </w:trPr>
        <w:tc>
          <w:tcPr>
            <w:tcW w:w="456" w:type="dxa"/>
          </w:tcPr>
          <w:p>
            <w:pPr>
              <w:pStyle w:val="7"/>
              <w:rPr>
                <w:rFonts w:ascii="Times New Roman"/>
                <w:sz w:val="14"/>
              </w:rPr>
            </w:pPr>
          </w:p>
          <w:p>
            <w:pPr>
              <w:pStyle w:val="7"/>
              <w:rPr>
                <w:rFonts w:ascii="Times New Roman"/>
                <w:sz w:val="14"/>
              </w:rPr>
            </w:pPr>
          </w:p>
          <w:p>
            <w:pPr>
              <w:pStyle w:val="7"/>
              <w:spacing w:before="6"/>
              <w:rPr>
                <w:rFonts w:ascii="Times New Roman"/>
                <w:sz w:val="20"/>
              </w:rPr>
            </w:pPr>
          </w:p>
          <w:p>
            <w:pPr>
              <w:pStyle w:val="7"/>
              <w:spacing w:before="1"/>
              <w:ind w:left="29"/>
              <w:jc w:val="center"/>
              <w:rPr>
                <w:sz w:val="14"/>
              </w:rPr>
            </w:pPr>
            <w:r>
              <w:rPr>
                <w:sz w:val="14"/>
              </w:rPr>
              <w:t>46</w:t>
            </w:r>
          </w:p>
        </w:tc>
        <w:tc>
          <w:tcPr>
            <w:tcW w:w="2124" w:type="dxa"/>
          </w:tcPr>
          <w:p>
            <w:pPr>
              <w:pStyle w:val="7"/>
              <w:spacing w:before="18" w:line="180" w:lineRule="atLeast"/>
              <w:ind w:left="30" w:right="60"/>
              <w:jc w:val="both"/>
              <w:rPr>
                <w:sz w:val="14"/>
              </w:rPr>
            </w:pPr>
            <w:r>
              <w:rPr>
                <w:sz w:val="14"/>
              </w:rPr>
              <w:t>对开办动物饲养场和隔离场所、动物屠宰加工场所以及动物和动物产品无害化处理场所，未取得动物防疫条件合格证的，或者未按照规定处理或者随意弃置病死动物、病害动物产品的行为的处罚</w:t>
            </w:r>
          </w:p>
        </w:tc>
        <w:tc>
          <w:tcPr>
            <w:tcW w:w="840" w:type="dxa"/>
          </w:tcPr>
          <w:p>
            <w:pPr>
              <w:pStyle w:val="7"/>
              <w:rPr>
                <w:rFonts w:ascii="Times New Roman"/>
                <w:sz w:val="14"/>
              </w:rPr>
            </w:pPr>
          </w:p>
          <w:p>
            <w:pPr>
              <w:pStyle w:val="7"/>
              <w:rPr>
                <w:rFonts w:ascii="Times New Roman"/>
                <w:sz w:val="14"/>
              </w:rPr>
            </w:pPr>
          </w:p>
          <w:p>
            <w:pPr>
              <w:pStyle w:val="7"/>
              <w:spacing w:before="6"/>
              <w:rPr>
                <w:rFonts w:ascii="Times New Roman"/>
                <w:sz w:val="20"/>
              </w:rPr>
            </w:pPr>
          </w:p>
          <w:p>
            <w:pPr>
              <w:pStyle w:val="7"/>
              <w:spacing w:before="1"/>
              <w:ind w:left="24" w:right="1"/>
              <w:jc w:val="center"/>
              <w:rPr>
                <w:sz w:val="14"/>
              </w:rPr>
            </w:pPr>
            <w:r>
              <w:rPr>
                <w:sz w:val="14"/>
              </w:rPr>
              <w:t>行政处罚</w:t>
            </w:r>
          </w:p>
        </w:tc>
        <w:tc>
          <w:tcPr>
            <w:tcW w:w="10164" w:type="dxa"/>
          </w:tcPr>
          <w:p>
            <w:pPr>
              <w:pStyle w:val="7"/>
              <w:rPr>
                <w:rFonts w:ascii="Times New Roman"/>
                <w:sz w:val="14"/>
              </w:rPr>
            </w:pPr>
          </w:p>
          <w:p>
            <w:pPr>
              <w:pStyle w:val="7"/>
              <w:spacing w:before="10"/>
              <w:rPr>
                <w:rFonts w:ascii="Times New Roman"/>
                <w:sz w:val="18"/>
              </w:rPr>
            </w:pPr>
          </w:p>
          <w:p>
            <w:pPr>
              <w:pStyle w:val="7"/>
              <w:spacing w:before="1"/>
              <w:ind w:left="30"/>
              <w:rPr>
                <w:sz w:val="14"/>
              </w:rPr>
            </w:pPr>
            <w:r>
              <w:rPr>
                <w:b/>
                <w:sz w:val="14"/>
              </w:rPr>
              <w:t xml:space="preserve">《中华人民共和国动物防疫法》第九十八条第一款第一项、第七项 </w:t>
            </w:r>
            <w:r>
              <w:rPr>
                <w:sz w:val="14"/>
              </w:rPr>
              <w:t>违反本法规定，有下列行为之一的，由县级以上地方人民政府农业农村主管部门责令改</w:t>
            </w:r>
          </w:p>
          <w:p>
            <w:pPr>
              <w:pStyle w:val="7"/>
              <w:ind w:left="30" w:right="36"/>
              <w:rPr>
                <w:sz w:val="14"/>
              </w:rPr>
            </w:pPr>
            <w:r>
              <w:rPr>
                <w:sz w:val="14"/>
              </w:rPr>
              <w:t>正，处三千元以上三万元以下罚款；情节严重的，责令停业整顿，并处三万元以上十万元以下罚款：（一）开办动物饲养场和隔离场所、动物屠宰加工场所以及   动物和动物产品无害化处理场所，未取得动物防疫条件合格证的；（七）未按照规定处理或者随意弃置病死动物、病害动物产品的。</w:t>
            </w:r>
          </w:p>
        </w:tc>
        <w:tc>
          <w:tcPr>
            <w:tcW w:w="960" w:type="dxa"/>
          </w:tcPr>
          <w:p>
            <w:pPr>
              <w:pStyle w:val="7"/>
              <w:rPr>
                <w:rFonts w:ascii="Times New Roman"/>
                <w:sz w:val="14"/>
              </w:rPr>
            </w:pPr>
          </w:p>
          <w:p>
            <w:pPr>
              <w:pStyle w:val="7"/>
              <w:rPr>
                <w:rFonts w:ascii="Times New Roman"/>
                <w:sz w:val="14"/>
              </w:rPr>
            </w:pPr>
          </w:p>
          <w:p>
            <w:pPr>
              <w:pStyle w:val="7"/>
              <w:spacing w:before="6"/>
              <w:rPr>
                <w:rFonts w:ascii="Times New Roman"/>
                <w:sz w:val="20"/>
              </w:rPr>
            </w:pPr>
          </w:p>
          <w:p>
            <w:pPr>
              <w:pStyle w:val="7"/>
              <w:spacing w:before="1"/>
              <w:ind w:left="41" w:right="18"/>
              <w:jc w:val="center"/>
              <w:rPr>
                <w:sz w:val="14"/>
              </w:rPr>
            </w:pPr>
            <w:r>
              <w:rPr>
                <w:sz w:val="14"/>
              </w:rPr>
              <w:t>省农业农村厅</w:t>
            </w:r>
          </w:p>
        </w:tc>
        <w:tc>
          <w:tcPr>
            <w:tcW w:w="1140" w:type="dxa"/>
          </w:tcPr>
          <w:p>
            <w:pPr>
              <w:pStyle w:val="7"/>
              <w:rPr>
                <w:rFonts w:ascii="Times New Roman"/>
                <w:sz w:val="14"/>
              </w:rPr>
            </w:pPr>
          </w:p>
          <w:p>
            <w:pPr>
              <w:pStyle w:val="7"/>
              <w:spacing w:before="10"/>
              <w:rPr>
                <w:rFonts w:ascii="Times New Roman"/>
                <w:sz w:val="18"/>
              </w:rPr>
            </w:pPr>
          </w:p>
          <w:p>
            <w:pPr>
              <w:pStyle w:val="7"/>
              <w:spacing w:before="1"/>
              <w:ind w:left="30" w:right="84"/>
              <w:jc w:val="both"/>
              <w:rPr>
                <w:sz w:val="14"/>
              </w:rPr>
            </w:pPr>
            <w:r>
              <w:rPr>
                <w:sz w:val="14"/>
              </w:rPr>
              <w:t>县级以上地方人民政府农业农村主管部门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5" w:hRule="atLeast"/>
        </w:trPr>
        <w:tc>
          <w:tcPr>
            <w:tcW w:w="456" w:type="dxa"/>
          </w:tcPr>
          <w:p>
            <w:pPr>
              <w:pStyle w:val="7"/>
              <w:rPr>
                <w:rFonts w:ascii="Times New Roman"/>
                <w:sz w:val="14"/>
              </w:rPr>
            </w:pPr>
          </w:p>
          <w:p>
            <w:pPr>
              <w:pStyle w:val="7"/>
              <w:rPr>
                <w:rFonts w:ascii="Times New Roman"/>
                <w:sz w:val="14"/>
              </w:rPr>
            </w:pPr>
          </w:p>
          <w:p>
            <w:pPr>
              <w:pStyle w:val="7"/>
              <w:spacing w:before="90"/>
              <w:ind w:left="29"/>
              <w:jc w:val="center"/>
              <w:rPr>
                <w:sz w:val="14"/>
              </w:rPr>
            </w:pPr>
            <w:r>
              <w:rPr>
                <w:sz w:val="14"/>
              </w:rPr>
              <w:t>47</w:t>
            </w:r>
          </w:p>
        </w:tc>
        <w:tc>
          <w:tcPr>
            <w:tcW w:w="2124" w:type="dxa"/>
          </w:tcPr>
          <w:p>
            <w:pPr>
              <w:pStyle w:val="7"/>
              <w:rPr>
                <w:rFonts w:ascii="Times New Roman"/>
                <w:sz w:val="14"/>
              </w:rPr>
            </w:pPr>
          </w:p>
          <w:p>
            <w:pPr>
              <w:pStyle w:val="7"/>
              <w:spacing w:before="1"/>
              <w:rPr>
                <w:rFonts w:ascii="Times New Roman"/>
                <w:sz w:val="14"/>
              </w:rPr>
            </w:pPr>
          </w:p>
          <w:p>
            <w:pPr>
              <w:pStyle w:val="7"/>
              <w:ind w:left="30" w:right="60"/>
              <w:rPr>
                <w:sz w:val="14"/>
              </w:rPr>
            </w:pPr>
            <w:r>
              <w:rPr>
                <w:sz w:val="14"/>
              </w:rPr>
              <w:t>对本辖区违反规定野外用火的行为的处罚</w:t>
            </w:r>
          </w:p>
        </w:tc>
        <w:tc>
          <w:tcPr>
            <w:tcW w:w="840" w:type="dxa"/>
          </w:tcPr>
          <w:p>
            <w:pPr>
              <w:pStyle w:val="7"/>
              <w:rPr>
                <w:rFonts w:ascii="Times New Roman"/>
                <w:sz w:val="14"/>
              </w:rPr>
            </w:pPr>
          </w:p>
          <w:p>
            <w:pPr>
              <w:pStyle w:val="7"/>
              <w:rPr>
                <w:rFonts w:ascii="Times New Roman"/>
                <w:sz w:val="14"/>
              </w:rPr>
            </w:pPr>
          </w:p>
          <w:p>
            <w:pPr>
              <w:pStyle w:val="7"/>
              <w:spacing w:before="90"/>
              <w:ind w:left="24" w:right="1"/>
              <w:jc w:val="center"/>
              <w:rPr>
                <w:sz w:val="14"/>
              </w:rPr>
            </w:pPr>
            <w:r>
              <w:rPr>
                <w:sz w:val="14"/>
              </w:rPr>
              <w:t>行政处罚</w:t>
            </w:r>
          </w:p>
        </w:tc>
        <w:tc>
          <w:tcPr>
            <w:tcW w:w="10164" w:type="dxa"/>
          </w:tcPr>
          <w:p>
            <w:pPr>
              <w:pStyle w:val="7"/>
              <w:spacing w:before="52"/>
              <w:ind w:left="30" w:right="36"/>
              <w:rPr>
                <w:sz w:val="14"/>
              </w:rPr>
            </w:pPr>
            <w:r>
              <w:rPr>
                <w:b/>
                <w:sz w:val="14"/>
              </w:rPr>
              <w:t xml:space="preserve">《山西省人民代表大会常务委员会关于禁止野外用火的决定》  （2020年5月15日山西省第十三届人民代表大会常务委员会第十八次会议通过）  第十四条  第一款   </w:t>
            </w:r>
            <w:r>
              <w:rPr>
                <w:sz w:val="14"/>
              </w:rPr>
              <w:t>违反本决定规定，在森林、草原、林地及其边缘吸烟、燃放烟花爆竹，有烧纸、焚香、点蜡等祭祀殡葬用火行为或者在森林、林地及其边缘向车外丢弃火种的，由县级以上人民政府林业和草原主管部门责令改正，给予警告，对个人并处二百元以上三千元以下罚款，对单位并处二万元以上五万元以下罚款；在森林、   草原、林地及其边缘烤火、野炊、烧烤、火把照明、点放孔明灯、烧灰积肥、烧荒燎堰的，由县级以上人民政府林业和草原主管部门责令改正，给予警告，对个   人并处五百元以上三千元以下罚款，对单位并处三万元以上五万元以下罚款；构成犯罪的，依法追究刑事责任。</w:t>
            </w:r>
          </w:p>
        </w:tc>
        <w:tc>
          <w:tcPr>
            <w:tcW w:w="960" w:type="dxa"/>
          </w:tcPr>
          <w:p>
            <w:pPr>
              <w:pStyle w:val="7"/>
              <w:rPr>
                <w:rFonts w:ascii="Times New Roman"/>
                <w:sz w:val="14"/>
              </w:rPr>
            </w:pPr>
          </w:p>
          <w:p>
            <w:pPr>
              <w:pStyle w:val="7"/>
              <w:rPr>
                <w:rFonts w:ascii="Times New Roman"/>
                <w:sz w:val="14"/>
              </w:rPr>
            </w:pPr>
          </w:p>
          <w:p>
            <w:pPr>
              <w:pStyle w:val="7"/>
              <w:spacing w:before="90"/>
              <w:ind w:left="41" w:right="18"/>
              <w:jc w:val="center"/>
              <w:rPr>
                <w:sz w:val="14"/>
              </w:rPr>
            </w:pPr>
            <w:r>
              <w:rPr>
                <w:sz w:val="14"/>
              </w:rPr>
              <w:t>省林草局</w:t>
            </w:r>
          </w:p>
        </w:tc>
        <w:tc>
          <w:tcPr>
            <w:tcW w:w="1140" w:type="dxa"/>
          </w:tcPr>
          <w:p>
            <w:pPr>
              <w:pStyle w:val="7"/>
              <w:spacing w:before="2"/>
              <w:rPr>
                <w:rFonts w:ascii="Times New Roman"/>
                <w:sz w:val="20"/>
              </w:rPr>
            </w:pPr>
          </w:p>
          <w:p>
            <w:pPr>
              <w:pStyle w:val="7"/>
              <w:ind w:left="30" w:right="84"/>
              <w:jc w:val="both"/>
              <w:rPr>
                <w:sz w:val="14"/>
              </w:rPr>
            </w:pPr>
            <w:r>
              <w:rPr>
                <w:sz w:val="14"/>
              </w:rPr>
              <w:t>县级以上人民政府林业和草原主管部门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atLeast"/>
        </w:trPr>
        <w:tc>
          <w:tcPr>
            <w:tcW w:w="456" w:type="dxa"/>
          </w:tcPr>
          <w:p>
            <w:pPr>
              <w:pStyle w:val="7"/>
              <w:rPr>
                <w:rFonts w:ascii="Times New Roman"/>
                <w:sz w:val="14"/>
              </w:rPr>
            </w:pPr>
          </w:p>
          <w:p>
            <w:pPr>
              <w:pStyle w:val="7"/>
              <w:spacing w:before="2"/>
              <w:rPr>
                <w:rFonts w:ascii="Times New Roman"/>
                <w:sz w:val="16"/>
              </w:rPr>
            </w:pPr>
          </w:p>
          <w:p>
            <w:pPr>
              <w:pStyle w:val="7"/>
              <w:ind w:left="29"/>
              <w:jc w:val="center"/>
              <w:rPr>
                <w:sz w:val="14"/>
              </w:rPr>
            </w:pPr>
            <w:r>
              <w:rPr>
                <w:sz w:val="14"/>
              </w:rPr>
              <w:t>48</w:t>
            </w:r>
          </w:p>
        </w:tc>
        <w:tc>
          <w:tcPr>
            <w:tcW w:w="2124" w:type="dxa"/>
          </w:tcPr>
          <w:p>
            <w:pPr>
              <w:pStyle w:val="7"/>
              <w:rPr>
                <w:rFonts w:ascii="Times New Roman"/>
                <w:sz w:val="14"/>
              </w:rPr>
            </w:pPr>
          </w:p>
          <w:p>
            <w:pPr>
              <w:pStyle w:val="7"/>
              <w:spacing w:before="98"/>
              <w:ind w:left="30" w:right="60"/>
              <w:rPr>
                <w:sz w:val="14"/>
              </w:rPr>
            </w:pPr>
            <w:r>
              <w:rPr>
                <w:sz w:val="14"/>
              </w:rPr>
              <w:t>对露天焚烧秸秆、落叶等产生烟尘污染物质行为的处罚</w:t>
            </w:r>
          </w:p>
        </w:tc>
        <w:tc>
          <w:tcPr>
            <w:tcW w:w="840" w:type="dxa"/>
          </w:tcPr>
          <w:p>
            <w:pPr>
              <w:pStyle w:val="7"/>
              <w:rPr>
                <w:rFonts w:ascii="Times New Roman"/>
                <w:sz w:val="14"/>
              </w:rPr>
            </w:pPr>
          </w:p>
          <w:p>
            <w:pPr>
              <w:pStyle w:val="7"/>
              <w:spacing w:before="2"/>
              <w:rPr>
                <w:rFonts w:ascii="Times New Roman"/>
                <w:sz w:val="16"/>
              </w:rPr>
            </w:pPr>
          </w:p>
          <w:p>
            <w:pPr>
              <w:pStyle w:val="7"/>
              <w:ind w:left="24" w:right="1"/>
              <w:jc w:val="center"/>
              <w:rPr>
                <w:sz w:val="14"/>
              </w:rPr>
            </w:pPr>
            <w:r>
              <w:rPr>
                <w:sz w:val="14"/>
              </w:rPr>
              <w:t>行政处罚</w:t>
            </w:r>
          </w:p>
        </w:tc>
        <w:tc>
          <w:tcPr>
            <w:tcW w:w="10164" w:type="dxa"/>
          </w:tcPr>
          <w:p>
            <w:pPr>
              <w:pStyle w:val="7"/>
              <w:spacing w:before="10"/>
              <w:rPr>
                <w:rFonts w:ascii="Times New Roman"/>
                <w:sz w:val="22"/>
              </w:rPr>
            </w:pPr>
          </w:p>
          <w:p>
            <w:pPr>
              <w:pStyle w:val="7"/>
              <w:spacing w:line="228" w:lineRule="auto"/>
              <w:ind w:left="30" w:right="140"/>
              <w:rPr>
                <w:rFonts w:ascii="Times New Roman" w:hAnsi="Times New Roman" w:eastAsia="Times New Roman"/>
                <w:sz w:val="14"/>
              </w:rPr>
            </w:pPr>
            <w:r>
              <w:rPr>
                <w:b/>
                <w:sz w:val="14"/>
              </w:rPr>
              <w:t xml:space="preserve">《中华人民共和国大气污染防治法》第一百一十九条第一款    </w:t>
            </w:r>
            <w:r>
              <w:rPr>
                <w:sz w:val="14"/>
              </w:rPr>
              <w:t>违反本法规定，在人口集中地区对树木、花草喷洒剧毒、高毒农药，或者露天焚烧秸秆、落叶等产生烟尘污染的物质的，由县级以上地方人民政府确定的监督管理部门责令改正，并可以处五百元以上二千元以下的罚款。</w:t>
            </w:r>
            <w:r>
              <w:rPr>
                <w:rFonts w:ascii="Times New Roman" w:hAnsi="Times New Roman" w:eastAsia="Times New Roman"/>
                <w:sz w:val="14"/>
              </w:rPr>
              <w:t>   </w:t>
            </w:r>
          </w:p>
        </w:tc>
        <w:tc>
          <w:tcPr>
            <w:tcW w:w="960" w:type="dxa"/>
          </w:tcPr>
          <w:p>
            <w:pPr>
              <w:pStyle w:val="7"/>
              <w:rPr>
                <w:rFonts w:ascii="Times New Roman"/>
                <w:sz w:val="14"/>
              </w:rPr>
            </w:pPr>
          </w:p>
          <w:p>
            <w:pPr>
              <w:pStyle w:val="7"/>
              <w:spacing w:before="2"/>
              <w:rPr>
                <w:rFonts w:ascii="Times New Roman"/>
                <w:sz w:val="16"/>
              </w:rPr>
            </w:pPr>
          </w:p>
          <w:p>
            <w:pPr>
              <w:pStyle w:val="7"/>
              <w:ind w:left="41" w:right="18"/>
              <w:jc w:val="center"/>
              <w:rPr>
                <w:sz w:val="14"/>
              </w:rPr>
            </w:pPr>
            <w:r>
              <w:rPr>
                <w:sz w:val="14"/>
              </w:rPr>
              <w:t>省生态环境厅</w:t>
            </w:r>
          </w:p>
        </w:tc>
        <w:tc>
          <w:tcPr>
            <w:tcW w:w="1140" w:type="dxa"/>
          </w:tcPr>
          <w:p>
            <w:pPr>
              <w:pStyle w:val="7"/>
              <w:spacing w:before="6"/>
              <w:rPr>
                <w:rFonts w:ascii="Times New Roman"/>
                <w:sz w:val="14"/>
              </w:rPr>
            </w:pPr>
          </w:p>
          <w:p>
            <w:pPr>
              <w:pStyle w:val="7"/>
              <w:ind w:left="30" w:right="84"/>
              <w:jc w:val="both"/>
              <w:rPr>
                <w:sz w:val="14"/>
              </w:rPr>
            </w:pPr>
            <w:r>
              <w:rPr>
                <w:sz w:val="14"/>
              </w:rPr>
              <w:t>县级以上人民政府生态环境主管部门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8" w:hRule="atLeast"/>
        </w:trPr>
        <w:tc>
          <w:tcPr>
            <w:tcW w:w="456" w:type="dxa"/>
          </w:tcPr>
          <w:p>
            <w:pPr>
              <w:pStyle w:val="7"/>
              <w:spacing w:before="6"/>
              <w:rPr>
                <w:rFonts w:ascii="Times New Roman"/>
                <w:sz w:val="19"/>
              </w:rPr>
            </w:pPr>
          </w:p>
          <w:p>
            <w:pPr>
              <w:pStyle w:val="7"/>
              <w:spacing w:before="1"/>
              <w:ind w:left="29"/>
              <w:jc w:val="center"/>
              <w:rPr>
                <w:sz w:val="14"/>
              </w:rPr>
            </w:pPr>
            <w:r>
              <w:rPr>
                <w:sz w:val="14"/>
              </w:rPr>
              <w:t>49</w:t>
            </w:r>
          </w:p>
        </w:tc>
        <w:tc>
          <w:tcPr>
            <w:tcW w:w="2124" w:type="dxa"/>
          </w:tcPr>
          <w:p>
            <w:pPr>
              <w:pStyle w:val="7"/>
              <w:spacing w:before="7"/>
              <w:rPr>
                <w:rFonts w:ascii="Times New Roman"/>
                <w:sz w:val="11"/>
              </w:rPr>
            </w:pPr>
          </w:p>
          <w:p>
            <w:pPr>
              <w:pStyle w:val="7"/>
              <w:ind w:left="30" w:right="60"/>
              <w:rPr>
                <w:sz w:val="14"/>
              </w:rPr>
            </w:pPr>
            <w:r>
              <w:rPr>
                <w:sz w:val="14"/>
              </w:rPr>
              <w:t>对单位和个人随意倾倒、抛撒或者堆放建筑垃圾的行为的处罚</w:t>
            </w:r>
          </w:p>
        </w:tc>
        <w:tc>
          <w:tcPr>
            <w:tcW w:w="840" w:type="dxa"/>
          </w:tcPr>
          <w:p>
            <w:pPr>
              <w:pStyle w:val="7"/>
              <w:spacing w:before="6"/>
              <w:rPr>
                <w:rFonts w:ascii="Times New Roman"/>
                <w:sz w:val="19"/>
              </w:rPr>
            </w:pPr>
          </w:p>
          <w:p>
            <w:pPr>
              <w:pStyle w:val="7"/>
              <w:spacing w:before="1"/>
              <w:ind w:left="24" w:right="1"/>
              <w:jc w:val="center"/>
              <w:rPr>
                <w:sz w:val="14"/>
              </w:rPr>
            </w:pPr>
            <w:r>
              <w:rPr>
                <w:sz w:val="14"/>
              </w:rPr>
              <w:t>行政处罚</w:t>
            </w:r>
          </w:p>
        </w:tc>
        <w:tc>
          <w:tcPr>
            <w:tcW w:w="10164" w:type="dxa"/>
          </w:tcPr>
          <w:p>
            <w:pPr>
              <w:pStyle w:val="7"/>
              <w:spacing w:before="7"/>
              <w:rPr>
                <w:rFonts w:ascii="Times New Roman"/>
                <w:sz w:val="11"/>
              </w:rPr>
            </w:pPr>
          </w:p>
          <w:p>
            <w:pPr>
              <w:pStyle w:val="7"/>
              <w:ind w:left="30" w:right="47"/>
              <w:rPr>
                <w:b/>
                <w:sz w:val="14"/>
              </w:rPr>
            </w:pPr>
            <w:r>
              <w:rPr>
                <w:b/>
                <w:sz w:val="14"/>
              </w:rPr>
              <w:t>《城市建筑垃圾管理规定》  （2005年中华人民共和国建设部令第139号公布）  第二十六条  任何单位和个人随意倾倒、抛撒或者堆放建筑垃圾的，由城市人民政府市容环境卫生主管部门责令限期改正，给予警告，并对单位处5000元以上5万元以下罚款，对个人处200元以下罚款。</w:t>
            </w:r>
          </w:p>
        </w:tc>
        <w:tc>
          <w:tcPr>
            <w:tcW w:w="960" w:type="dxa"/>
          </w:tcPr>
          <w:p>
            <w:pPr>
              <w:pStyle w:val="7"/>
              <w:spacing w:before="6"/>
              <w:rPr>
                <w:rFonts w:ascii="Times New Roman"/>
                <w:sz w:val="19"/>
              </w:rPr>
            </w:pPr>
          </w:p>
          <w:p>
            <w:pPr>
              <w:pStyle w:val="7"/>
              <w:spacing w:before="1"/>
              <w:ind w:left="44" w:right="16"/>
              <w:jc w:val="center"/>
              <w:rPr>
                <w:sz w:val="14"/>
              </w:rPr>
            </w:pPr>
            <w:r>
              <w:rPr>
                <w:sz w:val="14"/>
              </w:rPr>
              <w:t>省住建厅</w:t>
            </w:r>
          </w:p>
        </w:tc>
        <w:tc>
          <w:tcPr>
            <w:tcW w:w="1140" w:type="dxa"/>
          </w:tcPr>
          <w:p>
            <w:pPr>
              <w:pStyle w:val="7"/>
              <w:spacing w:before="45"/>
              <w:ind w:left="30" w:right="84"/>
              <w:jc w:val="both"/>
              <w:rPr>
                <w:sz w:val="14"/>
              </w:rPr>
            </w:pPr>
            <w:r>
              <w:rPr>
                <w:sz w:val="14"/>
              </w:rPr>
              <w:t>城市人民政府市容环境卫生主管部门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4" w:hRule="atLeast"/>
        </w:trPr>
        <w:tc>
          <w:tcPr>
            <w:tcW w:w="456" w:type="dxa"/>
          </w:tcPr>
          <w:p>
            <w:pPr>
              <w:pStyle w:val="7"/>
              <w:rPr>
                <w:rFonts w:ascii="Times New Roman"/>
                <w:sz w:val="14"/>
              </w:rPr>
            </w:pPr>
          </w:p>
          <w:p>
            <w:pPr>
              <w:pStyle w:val="7"/>
              <w:spacing w:before="122"/>
              <w:ind w:left="29"/>
              <w:jc w:val="center"/>
              <w:rPr>
                <w:sz w:val="14"/>
              </w:rPr>
            </w:pPr>
            <w:r>
              <w:rPr>
                <w:sz w:val="14"/>
              </w:rPr>
              <w:t>50</w:t>
            </w:r>
          </w:p>
        </w:tc>
        <w:tc>
          <w:tcPr>
            <w:tcW w:w="2124" w:type="dxa"/>
          </w:tcPr>
          <w:p>
            <w:pPr>
              <w:pStyle w:val="7"/>
              <w:spacing w:before="7"/>
              <w:rPr>
                <w:rFonts w:ascii="Times New Roman"/>
                <w:sz w:val="16"/>
              </w:rPr>
            </w:pPr>
          </w:p>
          <w:p>
            <w:pPr>
              <w:pStyle w:val="7"/>
              <w:ind w:left="30" w:right="60"/>
              <w:rPr>
                <w:sz w:val="14"/>
              </w:rPr>
            </w:pPr>
            <w:r>
              <w:rPr>
                <w:sz w:val="14"/>
              </w:rPr>
              <w:t>对未经批准在河道管理范围内采砂的行为的处罚</w:t>
            </w:r>
          </w:p>
        </w:tc>
        <w:tc>
          <w:tcPr>
            <w:tcW w:w="840" w:type="dxa"/>
          </w:tcPr>
          <w:p>
            <w:pPr>
              <w:pStyle w:val="7"/>
              <w:rPr>
                <w:rFonts w:ascii="Times New Roman"/>
                <w:sz w:val="14"/>
              </w:rPr>
            </w:pPr>
          </w:p>
          <w:p>
            <w:pPr>
              <w:pStyle w:val="7"/>
              <w:spacing w:before="122"/>
              <w:ind w:left="24" w:right="1"/>
              <w:jc w:val="center"/>
              <w:rPr>
                <w:sz w:val="14"/>
              </w:rPr>
            </w:pPr>
            <w:r>
              <w:rPr>
                <w:sz w:val="14"/>
              </w:rPr>
              <w:t>行政处罚</w:t>
            </w:r>
          </w:p>
        </w:tc>
        <w:tc>
          <w:tcPr>
            <w:tcW w:w="10164" w:type="dxa"/>
          </w:tcPr>
          <w:p>
            <w:pPr>
              <w:pStyle w:val="7"/>
              <w:spacing w:before="11"/>
              <w:ind w:left="30"/>
              <w:rPr>
                <w:sz w:val="14"/>
              </w:rPr>
            </w:pPr>
            <w:r>
              <w:rPr>
                <w:b/>
                <w:sz w:val="14"/>
              </w:rPr>
              <w:t xml:space="preserve">《中华人民共和国河道管理条例》 （1988年中华人民共和国国务院令第3号 2018年修订） 第四十四条 第一款 第四项 </w:t>
            </w:r>
            <w:r>
              <w:rPr>
                <w:sz w:val="14"/>
              </w:rPr>
              <w:t>违反本条例规定，有下列行为之一</w:t>
            </w:r>
          </w:p>
          <w:p>
            <w:pPr>
              <w:pStyle w:val="7"/>
              <w:spacing w:before="1"/>
              <w:ind w:left="30" w:right="36"/>
              <w:rPr>
                <w:sz w:val="14"/>
              </w:rPr>
            </w:pPr>
            <w:r>
              <w:rPr>
                <w:sz w:val="14"/>
              </w:rPr>
              <w:t>的，县级以上地方人民政府河道主管机关除责令其纠正违法行为、采取补救措施外，可以并处警告、罚款、没收非法所得；对有关责任人员，由其所在单位或者   上级主管机关给予行政处分；构成犯罪的，依法追究刑事责任：</w:t>
            </w:r>
          </w:p>
          <w:p>
            <w:pPr>
              <w:pStyle w:val="7"/>
              <w:spacing w:before="1" w:line="152" w:lineRule="exact"/>
              <w:ind w:left="30"/>
              <w:rPr>
                <w:sz w:val="14"/>
              </w:rPr>
            </w:pPr>
            <w:r>
              <w:rPr>
                <w:sz w:val="14"/>
              </w:rPr>
              <w:t>（四）未经批准或者不按照河道主管机关的规定在河道管理范围内采砂、取土、淘金、弃置砂石或者淤泥、爆破、钻探、挖筑鱼塘的；</w:t>
            </w:r>
          </w:p>
        </w:tc>
        <w:tc>
          <w:tcPr>
            <w:tcW w:w="960" w:type="dxa"/>
          </w:tcPr>
          <w:p>
            <w:pPr>
              <w:pStyle w:val="7"/>
              <w:rPr>
                <w:rFonts w:ascii="Times New Roman"/>
                <w:sz w:val="14"/>
              </w:rPr>
            </w:pPr>
          </w:p>
          <w:p>
            <w:pPr>
              <w:pStyle w:val="7"/>
              <w:spacing w:before="122"/>
              <w:ind w:left="44" w:right="16"/>
              <w:jc w:val="center"/>
              <w:rPr>
                <w:sz w:val="14"/>
              </w:rPr>
            </w:pPr>
            <w:r>
              <w:rPr>
                <w:sz w:val="14"/>
              </w:rPr>
              <w:t>省水利厅</w:t>
            </w:r>
          </w:p>
        </w:tc>
        <w:tc>
          <w:tcPr>
            <w:tcW w:w="1140" w:type="dxa"/>
          </w:tcPr>
          <w:p>
            <w:pPr>
              <w:pStyle w:val="7"/>
              <w:spacing w:before="103"/>
              <w:ind w:left="30" w:right="84"/>
              <w:jc w:val="both"/>
              <w:rPr>
                <w:sz w:val="14"/>
              </w:rPr>
            </w:pPr>
            <w:r>
              <w:rPr>
                <w:sz w:val="14"/>
              </w:rPr>
              <w:t>县级以上地方人民政府河道主管机关</w:t>
            </w:r>
          </w:p>
        </w:tc>
      </w:tr>
    </w:tbl>
    <w:p>
      <w:pPr>
        <w:spacing w:after="0"/>
        <w:jc w:val="both"/>
        <w:rPr>
          <w:sz w:val="14"/>
        </w:rPr>
        <w:sectPr>
          <w:pgSz w:w="16840" w:h="11910" w:orient="landscape"/>
          <w:pgMar w:top="1100" w:right="460" w:bottom="620" w:left="460" w:header="0" w:footer="437" w:gutter="0"/>
          <w:cols w:space="720" w:num="1"/>
        </w:sectPr>
      </w:pPr>
    </w:p>
    <w:p>
      <w:pPr>
        <w:pStyle w:val="2"/>
        <w:rPr>
          <w:rFonts w:ascii="Times New Roman"/>
          <w:sz w:val="20"/>
        </w:rPr>
      </w:pPr>
    </w:p>
    <w:p>
      <w:pPr>
        <w:pStyle w:val="2"/>
        <w:spacing w:before="5"/>
        <w:rPr>
          <w:rFonts w:ascii="Times New Roman"/>
          <w:sz w:val="16"/>
        </w:rPr>
      </w:pPr>
    </w:p>
    <w:tbl>
      <w:tblPr>
        <w:tblStyle w:val="3"/>
        <w:tblW w:w="0" w:type="auto"/>
        <w:tblInd w:w="1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6"/>
        <w:gridCol w:w="2124"/>
        <w:gridCol w:w="840"/>
        <w:gridCol w:w="10164"/>
        <w:gridCol w:w="960"/>
        <w:gridCol w:w="11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456" w:type="dxa"/>
          </w:tcPr>
          <w:p>
            <w:pPr>
              <w:pStyle w:val="7"/>
              <w:spacing w:before="113"/>
              <w:ind w:left="28"/>
              <w:jc w:val="center"/>
              <w:rPr>
                <w:rFonts w:hint="eastAsia" w:ascii="黑体" w:eastAsia="黑体"/>
                <w:sz w:val="19"/>
              </w:rPr>
            </w:pPr>
            <w:r>
              <w:rPr>
                <w:rFonts w:hint="eastAsia" w:ascii="黑体" w:eastAsia="黑体"/>
                <w:sz w:val="19"/>
              </w:rPr>
              <w:t>序号</w:t>
            </w:r>
          </w:p>
        </w:tc>
        <w:tc>
          <w:tcPr>
            <w:tcW w:w="2124" w:type="dxa"/>
          </w:tcPr>
          <w:p>
            <w:pPr>
              <w:pStyle w:val="7"/>
              <w:spacing w:before="113"/>
              <w:ind w:left="683"/>
              <w:rPr>
                <w:rFonts w:hint="eastAsia" w:ascii="黑体" w:eastAsia="黑体"/>
                <w:sz w:val="19"/>
              </w:rPr>
            </w:pPr>
            <w:r>
              <w:rPr>
                <w:rFonts w:hint="eastAsia" w:ascii="黑体" w:eastAsia="黑体"/>
                <w:sz w:val="19"/>
              </w:rPr>
              <w:t>职权名称</w:t>
            </w:r>
          </w:p>
        </w:tc>
        <w:tc>
          <w:tcPr>
            <w:tcW w:w="840" w:type="dxa"/>
          </w:tcPr>
          <w:p>
            <w:pPr>
              <w:pStyle w:val="7"/>
              <w:spacing w:before="113"/>
              <w:ind w:left="24" w:right="1"/>
              <w:jc w:val="center"/>
              <w:rPr>
                <w:rFonts w:hint="eastAsia" w:ascii="黑体" w:eastAsia="黑体"/>
                <w:sz w:val="19"/>
              </w:rPr>
            </w:pPr>
            <w:r>
              <w:rPr>
                <w:rFonts w:hint="eastAsia" w:ascii="黑体" w:eastAsia="黑体"/>
                <w:sz w:val="19"/>
              </w:rPr>
              <w:t>职权类型</w:t>
            </w:r>
          </w:p>
        </w:tc>
        <w:tc>
          <w:tcPr>
            <w:tcW w:w="10164" w:type="dxa"/>
          </w:tcPr>
          <w:p>
            <w:pPr>
              <w:pStyle w:val="7"/>
              <w:spacing w:before="113"/>
              <w:ind w:left="4687" w:right="4662"/>
              <w:jc w:val="center"/>
              <w:rPr>
                <w:rFonts w:hint="eastAsia" w:ascii="黑体" w:eastAsia="黑体"/>
                <w:sz w:val="19"/>
              </w:rPr>
            </w:pPr>
            <w:r>
              <w:rPr>
                <w:rFonts w:hint="eastAsia" w:ascii="黑体" w:eastAsia="黑体"/>
                <w:sz w:val="19"/>
              </w:rPr>
              <w:t>职权依据</w:t>
            </w:r>
          </w:p>
        </w:tc>
        <w:tc>
          <w:tcPr>
            <w:tcW w:w="960" w:type="dxa"/>
          </w:tcPr>
          <w:p>
            <w:pPr>
              <w:pStyle w:val="7"/>
              <w:spacing w:before="113"/>
              <w:ind w:left="41" w:right="18"/>
              <w:jc w:val="center"/>
              <w:rPr>
                <w:rFonts w:hint="eastAsia" w:ascii="黑体" w:eastAsia="黑体"/>
                <w:sz w:val="19"/>
              </w:rPr>
            </w:pPr>
            <w:r>
              <w:rPr>
                <w:rFonts w:hint="eastAsia" w:ascii="黑体" w:eastAsia="黑体"/>
                <w:sz w:val="19"/>
              </w:rPr>
              <w:t>主管部门</w:t>
            </w:r>
          </w:p>
        </w:tc>
        <w:tc>
          <w:tcPr>
            <w:tcW w:w="1140" w:type="dxa"/>
          </w:tcPr>
          <w:p>
            <w:pPr>
              <w:pStyle w:val="7"/>
              <w:spacing w:before="113"/>
              <w:ind w:left="80" w:right="55"/>
              <w:jc w:val="center"/>
              <w:rPr>
                <w:rFonts w:hint="eastAsia" w:ascii="黑体" w:eastAsia="黑体"/>
                <w:sz w:val="19"/>
              </w:rPr>
            </w:pPr>
            <w:r>
              <w:rPr>
                <w:rFonts w:hint="eastAsia" w:ascii="黑体" w:eastAsia="黑体"/>
                <w:sz w:val="19"/>
              </w:rPr>
              <w:t>原实施主体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9" w:hRule="atLeast"/>
        </w:trPr>
        <w:tc>
          <w:tcPr>
            <w:tcW w:w="456" w:type="dxa"/>
          </w:tcPr>
          <w:p>
            <w:pPr>
              <w:pStyle w:val="7"/>
              <w:rPr>
                <w:rFonts w:ascii="Times New Roman"/>
                <w:sz w:val="14"/>
              </w:rPr>
            </w:pPr>
          </w:p>
          <w:p>
            <w:pPr>
              <w:pStyle w:val="7"/>
              <w:spacing w:before="114"/>
              <w:ind w:left="29"/>
              <w:jc w:val="center"/>
              <w:rPr>
                <w:sz w:val="14"/>
              </w:rPr>
            </w:pPr>
            <w:r>
              <w:rPr>
                <w:sz w:val="14"/>
              </w:rPr>
              <w:t>51</w:t>
            </w:r>
          </w:p>
        </w:tc>
        <w:tc>
          <w:tcPr>
            <w:tcW w:w="2124" w:type="dxa"/>
          </w:tcPr>
          <w:p>
            <w:pPr>
              <w:pStyle w:val="7"/>
              <w:rPr>
                <w:rFonts w:ascii="Times New Roman"/>
                <w:sz w:val="16"/>
              </w:rPr>
            </w:pPr>
          </w:p>
          <w:p>
            <w:pPr>
              <w:pStyle w:val="7"/>
              <w:ind w:left="30" w:right="60"/>
              <w:rPr>
                <w:sz w:val="14"/>
              </w:rPr>
            </w:pPr>
            <w:r>
              <w:rPr>
                <w:sz w:val="14"/>
              </w:rPr>
              <w:t>对道路运输相关业务经营者未按规定备案的行为的处罚</w:t>
            </w:r>
          </w:p>
        </w:tc>
        <w:tc>
          <w:tcPr>
            <w:tcW w:w="840" w:type="dxa"/>
          </w:tcPr>
          <w:p>
            <w:pPr>
              <w:pStyle w:val="7"/>
              <w:rPr>
                <w:rFonts w:ascii="Times New Roman"/>
                <w:sz w:val="14"/>
              </w:rPr>
            </w:pPr>
          </w:p>
          <w:p>
            <w:pPr>
              <w:pStyle w:val="7"/>
              <w:spacing w:before="114"/>
              <w:ind w:left="24" w:right="1"/>
              <w:jc w:val="center"/>
              <w:rPr>
                <w:sz w:val="14"/>
              </w:rPr>
            </w:pPr>
            <w:r>
              <w:rPr>
                <w:sz w:val="14"/>
              </w:rPr>
              <w:t>行政处罚</w:t>
            </w:r>
          </w:p>
        </w:tc>
        <w:tc>
          <w:tcPr>
            <w:tcW w:w="10164" w:type="dxa"/>
          </w:tcPr>
          <w:p>
            <w:pPr>
              <w:pStyle w:val="7"/>
              <w:spacing w:before="95"/>
              <w:ind w:left="30" w:right="125"/>
              <w:rPr>
                <w:sz w:val="14"/>
              </w:rPr>
            </w:pPr>
            <w:r>
              <w:rPr>
                <w:b/>
                <w:spacing w:val="5"/>
                <w:sz w:val="14"/>
              </w:rPr>
              <w:t xml:space="preserve">《山西省道路运输条例》 </w:t>
            </w:r>
            <w:r>
              <w:rPr>
                <w:b/>
                <w:spacing w:val="2"/>
                <w:sz w:val="14"/>
              </w:rPr>
              <w:t>（2010</w:t>
            </w:r>
            <w:r>
              <w:rPr>
                <w:b/>
                <w:sz w:val="14"/>
              </w:rPr>
              <w:t>年</w:t>
            </w:r>
            <w:r>
              <w:rPr>
                <w:b/>
                <w:spacing w:val="5"/>
                <w:sz w:val="14"/>
              </w:rPr>
              <w:t>9</w:t>
            </w:r>
            <w:r>
              <w:rPr>
                <w:b/>
                <w:sz w:val="14"/>
              </w:rPr>
              <w:t>月</w:t>
            </w:r>
            <w:r>
              <w:rPr>
                <w:b/>
                <w:spacing w:val="3"/>
                <w:sz w:val="14"/>
              </w:rPr>
              <w:t>29</w:t>
            </w:r>
            <w:r>
              <w:rPr>
                <w:b/>
                <w:spacing w:val="2"/>
                <w:sz w:val="14"/>
              </w:rPr>
              <w:t xml:space="preserve">日山西省第十一届人民代表大会常务委员会第十九次会议通过 </w:t>
            </w:r>
            <w:r>
              <w:rPr>
                <w:b/>
                <w:spacing w:val="3"/>
                <w:sz w:val="14"/>
              </w:rPr>
              <w:t>2019</w:t>
            </w:r>
            <w:r>
              <w:rPr>
                <w:b/>
                <w:sz w:val="14"/>
              </w:rPr>
              <w:t>年修正）</w:t>
            </w:r>
            <w:r>
              <w:rPr>
                <w:b/>
                <w:spacing w:val="17"/>
                <w:sz w:val="14"/>
              </w:rPr>
              <w:t xml:space="preserve"> 第六十六条 </w:t>
            </w:r>
            <w:r>
              <w:rPr>
                <w:sz w:val="14"/>
              </w:rPr>
              <w:t>违反本条例规定，机动车综合性能检测、搬运装卸、货运代理、货物配载、仓储理货和信息服务等道路运输相关业务经营者未按规定备案的，由县级以上道路运输管理机构责令限期改   正;逾期不改正的，处一千元以上三千元以下罚款。</w:t>
            </w:r>
          </w:p>
        </w:tc>
        <w:tc>
          <w:tcPr>
            <w:tcW w:w="960" w:type="dxa"/>
          </w:tcPr>
          <w:p>
            <w:pPr>
              <w:pStyle w:val="7"/>
              <w:rPr>
                <w:rFonts w:ascii="Times New Roman"/>
                <w:sz w:val="14"/>
              </w:rPr>
            </w:pPr>
          </w:p>
          <w:p>
            <w:pPr>
              <w:pStyle w:val="7"/>
              <w:spacing w:before="114"/>
              <w:ind w:left="44" w:right="16"/>
              <w:jc w:val="center"/>
              <w:rPr>
                <w:sz w:val="14"/>
              </w:rPr>
            </w:pPr>
            <w:r>
              <w:rPr>
                <w:sz w:val="14"/>
              </w:rPr>
              <w:t>省交通运输厅</w:t>
            </w:r>
          </w:p>
        </w:tc>
        <w:tc>
          <w:tcPr>
            <w:tcW w:w="1140" w:type="dxa"/>
          </w:tcPr>
          <w:p>
            <w:pPr>
              <w:pStyle w:val="7"/>
              <w:rPr>
                <w:rFonts w:ascii="Times New Roman"/>
                <w:sz w:val="16"/>
              </w:rPr>
            </w:pPr>
          </w:p>
          <w:p>
            <w:pPr>
              <w:pStyle w:val="7"/>
              <w:ind w:left="215" w:right="44" w:hanging="144"/>
              <w:rPr>
                <w:sz w:val="14"/>
              </w:rPr>
            </w:pPr>
            <w:r>
              <w:rPr>
                <w:sz w:val="14"/>
              </w:rPr>
              <w:t>县级以上道路运输管理机构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4" w:hRule="atLeast"/>
        </w:trPr>
        <w:tc>
          <w:tcPr>
            <w:tcW w:w="456" w:type="dxa"/>
          </w:tcPr>
          <w:p>
            <w:pPr>
              <w:pStyle w:val="7"/>
              <w:rPr>
                <w:rFonts w:ascii="Times New Roman"/>
                <w:sz w:val="14"/>
              </w:rPr>
            </w:pPr>
          </w:p>
          <w:p>
            <w:pPr>
              <w:pStyle w:val="7"/>
              <w:spacing w:before="122"/>
              <w:ind w:left="29"/>
              <w:jc w:val="center"/>
              <w:rPr>
                <w:sz w:val="14"/>
              </w:rPr>
            </w:pPr>
            <w:r>
              <w:rPr>
                <w:sz w:val="14"/>
              </w:rPr>
              <w:t>52</w:t>
            </w:r>
          </w:p>
        </w:tc>
        <w:tc>
          <w:tcPr>
            <w:tcW w:w="2124" w:type="dxa"/>
          </w:tcPr>
          <w:p>
            <w:pPr>
              <w:pStyle w:val="7"/>
              <w:spacing w:before="11" w:line="180" w:lineRule="atLeast"/>
              <w:ind w:left="30" w:right="60"/>
              <w:jc w:val="both"/>
              <w:rPr>
                <w:sz w:val="14"/>
              </w:rPr>
            </w:pPr>
            <w:r>
              <w:rPr>
                <w:sz w:val="14"/>
              </w:rPr>
              <w:t>对占用耕地建窑、建坟或者擅自在耕地上建房、挖砂、采石、采矿、取土等破坏种植条件的行为的处罚</w:t>
            </w:r>
          </w:p>
        </w:tc>
        <w:tc>
          <w:tcPr>
            <w:tcW w:w="840" w:type="dxa"/>
          </w:tcPr>
          <w:p>
            <w:pPr>
              <w:pStyle w:val="7"/>
              <w:rPr>
                <w:rFonts w:ascii="Times New Roman"/>
                <w:sz w:val="14"/>
              </w:rPr>
            </w:pPr>
          </w:p>
          <w:p>
            <w:pPr>
              <w:pStyle w:val="7"/>
              <w:spacing w:before="122"/>
              <w:ind w:left="24" w:right="1"/>
              <w:jc w:val="center"/>
              <w:rPr>
                <w:sz w:val="14"/>
              </w:rPr>
            </w:pPr>
            <w:r>
              <w:rPr>
                <w:sz w:val="14"/>
              </w:rPr>
              <w:t>行政处罚</w:t>
            </w:r>
          </w:p>
        </w:tc>
        <w:tc>
          <w:tcPr>
            <w:tcW w:w="10164" w:type="dxa"/>
          </w:tcPr>
          <w:p>
            <w:pPr>
              <w:pStyle w:val="7"/>
              <w:spacing w:before="91" w:line="249" w:lineRule="auto"/>
              <w:ind w:left="30" w:right="36"/>
              <w:jc w:val="both"/>
              <w:rPr>
                <w:sz w:val="14"/>
              </w:rPr>
            </w:pPr>
            <w:r>
              <w:rPr>
                <w:b/>
                <w:sz w:val="14"/>
              </w:rPr>
              <w:t>《中华人民共和国土地管理法》第七十五条</w:t>
            </w:r>
            <w:r>
              <w:rPr>
                <w:rFonts w:ascii="Times New Roman" w:hAnsi="Times New Roman" w:eastAsia="Times New Roman"/>
                <w:sz w:val="14"/>
              </w:rPr>
              <w:t> </w:t>
            </w:r>
            <w:r>
              <w:rPr>
                <w:sz w:val="14"/>
              </w:rPr>
              <w:t>违反本法规定，占用耕地建窑、建坟或者擅自在耕地上建房、挖砂、采石、采矿、取土等，破坏种植条件的，或者   因开发土地造成土地荒漠化、盐渍化的，由县级以上人民政府自然资源主管部门、农业农村主管部门等按照职责责令限期改正或者治理，可以并处罚款；构成犯   罪的，依法追究刑事责任。</w:t>
            </w:r>
          </w:p>
        </w:tc>
        <w:tc>
          <w:tcPr>
            <w:tcW w:w="960" w:type="dxa"/>
          </w:tcPr>
          <w:p>
            <w:pPr>
              <w:pStyle w:val="7"/>
              <w:spacing w:before="103"/>
              <w:ind w:left="52"/>
              <w:rPr>
                <w:sz w:val="14"/>
              </w:rPr>
            </w:pPr>
            <w:r>
              <w:rPr>
                <w:sz w:val="14"/>
              </w:rPr>
              <w:t>省自然资源厅</w:t>
            </w:r>
          </w:p>
          <w:p>
            <w:pPr>
              <w:pStyle w:val="7"/>
              <w:ind w:left="412" w:right="27" w:hanging="360"/>
              <w:rPr>
                <w:sz w:val="14"/>
              </w:rPr>
            </w:pPr>
            <w:r>
              <w:rPr>
                <w:sz w:val="14"/>
              </w:rPr>
              <w:t>、省农业农村厅</w:t>
            </w:r>
          </w:p>
        </w:tc>
        <w:tc>
          <w:tcPr>
            <w:tcW w:w="1140" w:type="dxa"/>
          </w:tcPr>
          <w:p>
            <w:pPr>
              <w:pStyle w:val="7"/>
              <w:spacing w:before="11" w:line="180" w:lineRule="atLeast"/>
              <w:ind w:left="30" w:right="84"/>
              <w:jc w:val="both"/>
              <w:rPr>
                <w:sz w:val="14"/>
              </w:rPr>
            </w:pPr>
            <w:r>
              <w:rPr>
                <w:sz w:val="14"/>
              </w:rPr>
              <w:t>县级以上人民政府自然资源主管部门、农业农村主管部门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8" w:hRule="atLeast"/>
        </w:trPr>
        <w:tc>
          <w:tcPr>
            <w:tcW w:w="4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2"/>
              <w:ind w:left="29"/>
              <w:jc w:val="center"/>
              <w:rPr>
                <w:sz w:val="14"/>
              </w:rPr>
            </w:pPr>
            <w:r>
              <w:rPr>
                <w:sz w:val="14"/>
              </w:rPr>
              <w:t>53</w:t>
            </w:r>
          </w:p>
        </w:tc>
        <w:tc>
          <w:tcPr>
            <w:tcW w:w="2124" w:type="dxa"/>
          </w:tcPr>
          <w:p>
            <w:pPr>
              <w:pStyle w:val="7"/>
              <w:spacing w:before="55"/>
              <w:ind w:left="30" w:right="60"/>
              <w:jc w:val="both"/>
              <w:rPr>
                <w:sz w:val="14"/>
              </w:rPr>
            </w:pPr>
            <w:r>
              <w:rPr>
                <w:sz w:val="14"/>
              </w:rPr>
              <w:t>对在公路建筑控制区内修建、扩建建筑物、地面构筑物或者未经许可埋设管道、电缆等设施，或者在公路建筑控制区外修建的建筑物、地面构筑物以及其他设施遮挡公路标志或者妨碍安全视距的行为的处罚</w:t>
            </w:r>
          </w:p>
        </w:tc>
        <w:tc>
          <w:tcPr>
            <w:tcW w:w="84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2"/>
              <w:ind w:left="24" w:right="1"/>
              <w:jc w:val="center"/>
              <w:rPr>
                <w:sz w:val="14"/>
              </w:rPr>
            </w:pPr>
            <w:r>
              <w:rPr>
                <w:sz w:val="14"/>
              </w:rPr>
              <w:t>行政处罚</w:t>
            </w:r>
          </w:p>
        </w:tc>
        <w:tc>
          <w:tcPr>
            <w:tcW w:w="10164" w:type="dxa"/>
          </w:tcPr>
          <w:p>
            <w:pPr>
              <w:pStyle w:val="7"/>
              <w:rPr>
                <w:rFonts w:ascii="Times New Roman"/>
                <w:sz w:val="14"/>
              </w:rPr>
            </w:pPr>
          </w:p>
          <w:p>
            <w:pPr>
              <w:pStyle w:val="7"/>
              <w:rPr>
                <w:rFonts w:ascii="Times New Roman"/>
                <w:sz w:val="14"/>
              </w:rPr>
            </w:pPr>
          </w:p>
          <w:p>
            <w:pPr>
              <w:pStyle w:val="7"/>
              <w:spacing w:before="93"/>
              <w:ind w:left="30" w:right="36"/>
              <w:rPr>
                <w:sz w:val="14"/>
              </w:rPr>
            </w:pPr>
            <w:r>
              <w:rPr>
                <w:b/>
                <w:sz w:val="14"/>
              </w:rPr>
              <w:t xml:space="preserve">《公路安全保护条例》（国务院令第593号）第五十六条     </w:t>
            </w:r>
            <w:r>
              <w:rPr>
                <w:sz w:val="14"/>
              </w:rPr>
              <w:t>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   设施的；（二）在公路建筑控制区外修建的建筑物、地面构筑物以及其他设施遮挡公路标志或者妨碍安全视距的。</w:t>
            </w:r>
          </w:p>
        </w:tc>
        <w:tc>
          <w:tcPr>
            <w:tcW w:w="96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2"/>
              <w:ind w:left="41" w:right="18"/>
              <w:jc w:val="center"/>
              <w:rPr>
                <w:sz w:val="14"/>
              </w:rPr>
            </w:pPr>
            <w:r>
              <w:rPr>
                <w:sz w:val="14"/>
              </w:rPr>
              <w:t>省交通运输厅</w:t>
            </w:r>
          </w:p>
        </w:tc>
        <w:tc>
          <w:tcPr>
            <w:tcW w:w="114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2"/>
              <w:ind w:left="80" w:right="55"/>
              <w:jc w:val="center"/>
              <w:rPr>
                <w:sz w:val="14"/>
              </w:rPr>
            </w:pPr>
            <w:r>
              <w:rPr>
                <w:sz w:val="14"/>
              </w:rPr>
              <w:t>公路管理机构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56" w:type="dxa"/>
          </w:tcPr>
          <w:p>
            <w:pPr>
              <w:pStyle w:val="7"/>
              <w:spacing w:before="5"/>
              <w:rPr>
                <w:rFonts w:ascii="Times New Roman"/>
                <w:sz w:val="17"/>
              </w:rPr>
            </w:pPr>
          </w:p>
          <w:p>
            <w:pPr>
              <w:pStyle w:val="7"/>
              <w:spacing w:before="1"/>
              <w:ind w:left="29"/>
              <w:jc w:val="center"/>
              <w:rPr>
                <w:sz w:val="14"/>
              </w:rPr>
            </w:pPr>
            <w:r>
              <w:rPr>
                <w:sz w:val="14"/>
              </w:rPr>
              <w:t>54</w:t>
            </w:r>
          </w:p>
        </w:tc>
        <w:tc>
          <w:tcPr>
            <w:tcW w:w="2124" w:type="dxa"/>
          </w:tcPr>
          <w:p>
            <w:pPr>
              <w:pStyle w:val="7"/>
              <w:spacing w:before="20" w:line="180" w:lineRule="atLeast"/>
              <w:ind w:left="30" w:right="60"/>
              <w:jc w:val="both"/>
              <w:rPr>
                <w:sz w:val="14"/>
              </w:rPr>
            </w:pPr>
            <w:r>
              <w:rPr>
                <w:sz w:val="14"/>
              </w:rPr>
              <w:t>对车辆装载物触地拖行、掉落、遗洒或者飘散，造成公路路面损坏、污染的行为的处罚</w:t>
            </w:r>
          </w:p>
        </w:tc>
        <w:tc>
          <w:tcPr>
            <w:tcW w:w="840" w:type="dxa"/>
          </w:tcPr>
          <w:p>
            <w:pPr>
              <w:pStyle w:val="7"/>
              <w:spacing w:before="5"/>
              <w:rPr>
                <w:rFonts w:ascii="Times New Roman"/>
                <w:sz w:val="17"/>
              </w:rPr>
            </w:pPr>
          </w:p>
          <w:p>
            <w:pPr>
              <w:pStyle w:val="7"/>
              <w:spacing w:before="1"/>
              <w:ind w:left="24" w:right="1"/>
              <w:jc w:val="center"/>
              <w:rPr>
                <w:sz w:val="14"/>
              </w:rPr>
            </w:pPr>
            <w:r>
              <w:rPr>
                <w:sz w:val="14"/>
              </w:rPr>
              <w:t>行政处罚</w:t>
            </w:r>
          </w:p>
        </w:tc>
        <w:tc>
          <w:tcPr>
            <w:tcW w:w="10164" w:type="dxa"/>
          </w:tcPr>
          <w:p>
            <w:pPr>
              <w:pStyle w:val="7"/>
              <w:spacing w:before="110"/>
              <w:ind w:left="30" w:right="207"/>
              <w:rPr>
                <w:sz w:val="14"/>
              </w:rPr>
            </w:pPr>
            <w:r>
              <w:rPr>
                <w:b/>
                <w:sz w:val="14"/>
              </w:rPr>
              <w:t xml:space="preserve">《公路安全保护条例》（国务院令第593号）第六十九条    </w:t>
            </w:r>
            <w:r>
              <w:rPr>
                <w:sz w:val="14"/>
              </w:rPr>
              <w:t>车辆装载物触地拖行、掉落、遗洒或者飘散，造成公路路面损坏、污染的，由公路管理机构责令改正，处5000元以下的罚款。</w:t>
            </w:r>
          </w:p>
        </w:tc>
        <w:tc>
          <w:tcPr>
            <w:tcW w:w="960" w:type="dxa"/>
          </w:tcPr>
          <w:p>
            <w:pPr>
              <w:pStyle w:val="7"/>
              <w:spacing w:before="5"/>
              <w:rPr>
                <w:rFonts w:ascii="Times New Roman"/>
                <w:sz w:val="17"/>
              </w:rPr>
            </w:pPr>
          </w:p>
          <w:p>
            <w:pPr>
              <w:pStyle w:val="7"/>
              <w:spacing w:before="1"/>
              <w:ind w:left="41" w:right="18"/>
              <w:jc w:val="center"/>
              <w:rPr>
                <w:sz w:val="14"/>
              </w:rPr>
            </w:pPr>
            <w:r>
              <w:rPr>
                <w:sz w:val="14"/>
              </w:rPr>
              <w:t>省交通运输厅</w:t>
            </w:r>
          </w:p>
        </w:tc>
        <w:tc>
          <w:tcPr>
            <w:tcW w:w="1140" w:type="dxa"/>
          </w:tcPr>
          <w:p>
            <w:pPr>
              <w:pStyle w:val="7"/>
              <w:spacing w:before="5"/>
              <w:rPr>
                <w:rFonts w:ascii="Times New Roman"/>
                <w:sz w:val="17"/>
              </w:rPr>
            </w:pPr>
          </w:p>
          <w:p>
            <w:pPr>
              <w:pStyle w:val="7"/>
              <w:spacing w:before="1"/>
              <w:ind w:left="80" w:right="55"/>
              <w:jc w:val="center"/>
              <w:rPr>
                <w:sz w:val="14"/>
              </w:rPr>
            </w:pPr>
            <w:r>
              <w:rPr>
                <w:sz w:val="14"/>
              </w:rPr>
              <w:t>公路管理机构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4" w:hRule="atLeast"/>
        </w:trPr>
        <w:tc>
          <w:tcPr>
            <w:tcW w:w="456" w:type="dxa"/>
          </w:tcPr>
          <w:p>
            <w:pPr>
              <w:pStyle w:val="7"/>
              <w:rPr>
                <w:rFonts w:ascii="Times New Roman"/>
                <w:sz w:val="14"/>
              </w:rPr>
            </w:pPr>
          </w:p>
          <w:p>
            <w:pPr>
              <w:pStyle w:val="7"/>
              <w:spacing w:before="122"/>
              <w:ind w:left="29"/>
              <w:jc w:val="center"/>
              <w:rPr>
                <w:sz w:val="14"/>
              </w:rPr>
            </w:pPr>
            <w:r>
              <w:rPr>
                <w:sz w:val="14"/>
              </w:rPr>
              <w:t>55</w:t>
            </w:r>
          </w:p>
        </w:tc>
        <w:tc>
          <w:tcPr>
            <w:tcW w:w="2124" w:type="dxa"/>
          </w:tcPr>
          <w:p>
            <w:pPr>
              <w:pStyle w:val="7"/>
              <w:spacing w:before="7"/>
              <w:rPr>
                <w:rFonts w:ascii="Times New Roman"/>
                <w:sz w:val="16"/>
              </w:rPr>
            </w:pPr>
          </w:p>
          <w:p>
            <w:pPr>
              <w:pStyle w:val="7"/>
              <w:ind w:left="30" w:right="60"/>
              <w:rPr>
                <w:sz w:val="14"/>
              </w:rPr>
            </w:pPr>
            <w:r>
              <w:rPr>
                <w:sz w:val="14"/>
              </w:rPr>
              <w:t>对造成公路路面损坏、污染或者影响公路畅通的行为的处罚</w:t>
            </w:r>
          </w:p>
        </w:tc>
        <w:tc>
          <w:tcPr>
            <w:tcW w:w="840" w:type="dxa"/>
          </w:tcPr>
          <w:p>
            <w:pPr>
              <w:pStyle w:val="7"/>
              <w:rPr>
                <w:rFonts w:ascii="Times New Roman"/>
                <w:sz w:val="14"/>
              </w:rPr>
            </w:pPr>
          </w:p>
          <w:p>
            <w:pPr>
              <w:pStyle w:val="7"/>
              <w:spacing w:before="122"/>
              <w:ind w:left="24" w:right="1"/>
              <w:jc w:val="center"/>
              <w:rPr>
                <w:sz w:val="14"/>
              </w:rPr>
            </w:pPr>
            <w:r>
              <w:rPr>
                <w:sz w:val="14"/>
              </w:rPr>
              <w:t>行政处罚</w:t>
            </w:r>
          </w:p>
        </w:tc>
        <w:tc>
          <w:tcPr>
            <w:tcW w:w="10164" w:type="dxa"/>
          </w:tcPr>
          <w:p>
            <w:pPr>
              <w:pStyle w:val="7"/>
              <w:spacing w:before="11"/>
              <w:ind w:left="30" w:right="80"/>
              <w:rPr>
                <w:sz w:val="14"/>
              </w:rPr>
            </w:pPr>
            <w:r>
              <w:rPr>
                <w:b/>
                <w:sz w:val="14"/>
              </w:rPr>
              <w:t xml:space="preserve">《中华人民共和国公路法》第四十六条   </w:t>
            </w:r>
            <w:r>
              <w:rPr>
                <w:sz w:val="14"/>
              </w:rPr>
              <w:t>任何单位和个人不得在公路上及公路用地范围内摆摊设点、堆放物品、倾倒垃圾、设置障碍、挖沟引水、利用公路边沟排放污物或者进行其他损坏、污染公路和影响公路畅通的活动。</w:t>
            </w:r>
          </w:p>
          <w:p>
            <w:pPr>
              <w:pStyle w:val="7"/>
              <w:spacing w:before="1" w:line="180" w:lineRule="atLeast"/>
              <w:ind w:left="30" w:right="108"/>
              <w:rPr>
                <w:sz w:val="14"/>
              </w:rPr>
            </w:pPr>
            <w:r>
              <w:rPr>
                <w:sz w:val="14"/>
              </w:rPr>
              <w:t>第七十七条   违反本法第四十六条的规定，造成公路路面损坏、污染或者影响公路畅通的，或者违反本法第五十一条规定，将公路作为试车场地的，由交通主管部门责令停止违法行为，可以处五千元以下的罚款。</w:t>
            </w:r>
          </w:p>
        </w:tc>
        <w:tc>
          <w:tcPr>
            <w:tcW w:w="960" w:type="dxa"/>
          </w:tcPr>
          <w:p>
            <w:pPr>
              <w:pStyle w:val="7"/>
              <w:rPr>
                <w:rFonts w:ascii="Times New Roman"/>
                <w:sz w:val="14"/>
              </w:rPr>
            </w:pPr>
          </w:p>
          <w:p>
            <w:pPr>
              <w:pStyle w:val="7"/>
              <w:spacing w:before="122"/>
              <w:ind w:left="41" w:right="18"/>
              <w:jc w:val="center"/>
              <w:rPr>
                <w:sz w:val="14"/>
              </w:rPr>
            </w:pPr>
            <w:r>
              <w:rPr>
                <w:sz w:val="14"/>
              </w:rPr>
              <w:t>省交通运输厅</w:t>
            </w:r>
          </w:p>
        </w:tc>
        <w:tc>
          <w:tcPr>
            <w:tcW w:w="1140" w:type="dxa"/>
          </w:tcPr>
          <w:p>
            <w:pPr>
              <w:pStyle w:val="7"/>
              <w:spacing w:before="7"/>
              <w:rPr>
                <w:rFonts w:ascii="Times New Roman"/>
                <w:sz w:val="16"/>
              </w:rPr>
            </w:pPr>
          </w:p>
          <w:p>
            <w:pPr>
              <w:pStyle w:val="7"/>
              <w:ind w:left="30" w:right="84"/>
              <w:rPr>
                <w:sz w:val="14"/>
              </w:rPr>
            </w:pPr>
            <w:r>
              <w:rPr>
                <w:sz w:val="14"/>
              </w:rPr>
              <w:t>县级以上人民政府交通主管部门</w:t>
            </w:r>
          </w:p>
        </w:tc>
      </w:tr>
    </w:tbl>
    <w:p/>
    <w:sectPr>
      <w:pgSz w:w="16840" w:h="11910" w:orient="landscape"/>
      <w:pgMar w:top="1100" w:right="460" w:bottom="620" w:left="460" w:header="0" w:footer="43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5114925</wp:posOffset>
              </wp:positionH>
              <wp:positionV relativeFrom="page">
                <wp:posOffset>7091680</wp:posOffset>
              </wp:positionV>
              <wp:extent cx="452120" cy="1473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52120" cy="147320"/>
                      </a:xfrm>
                      <a:prstGeom prst="rect">
                        <a:avLst/>
                      </a:prstGeom>
                      <a:noFill/>
                      <a:ln>
                        <a:noFill/>
                      </a:ln>
                    </wps:spPr>
                    <wps:txbx>
                      <w:txbxContent>
                        <w:p>
                          <w:pPr>
                            <w:spacing w:before="0" w:line="231" w:lineRule="exact"/>
                            <w:ind w:left="20" w:right="0" w:firstLine="0"/>
                            <w:jc w:val="left"/>
                            <w:rPr>
                              <w:sz w:val="19"/>
                            </w:rPr>
                          </w:pPr>
                          <w:r>
                            <w:rPr>
                              <w:sz w:val="19"/>
                            </w:rPr>
                            <w:t xml:space="preserve">第 </w:t>
                          </w:r>
                          <w:r>
                            <w:fldChar w:fldCharType="begin"/>
                          </w:r>
                          <w:r>
                            <w:rPr>
                              <w:sz w:val="19"/>
                            </w:rPr>
                            <w:instrText xml:space="preserve"> PAGE </w:instrText>
                          </w:r>
                          <w:r>
                            <w:fldChar w:fldCharType="separate"/>
                          </w:r>
                          <w:r>
                            <w:t>1</w:t>
                          </w:r>
                          <w:r>
                            <w:fldChar w:fldCharType="end"/>
                          </w:r>
                          <w:r>
                            <w:rPr>
                              <w:sz w:val="19"/>
                            </w:rPr>
                            <w:t xml:space="preserve"> 页</w:t>
                          </w:r>
                        </w:p>
                      </w:txbxContent>
                    </wps:txbx>
                    <wps:bodyPr lIns="0" tIns="0" rIns="0" bIns="0" upright="1"/>
                  </wps:wsp>
                </a:graphicData>
              </a:graphic>
            </wp:anchor>
          </w:drawing>
        </mc:Choice>
        <mc:Fallback>
          <w:pict>
            <v:shape id="_x0000_s1026" o:spid="_x0000_s1026" o:spt="202" type="#_x0000_t202" style="position:absolute;left:0pt;margin-left:402.75pt;margin-top:558.4pt;height:11.6pt;width:35.6pt;mso-position-horizontal-relative:page;mso-position-vertical-relative:page;z-index:-251657216;mso-width-relative:page;mso-height-relative:page;" filled="f" stroked="f" coordsize="21600,21600" o:gfxdata="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4vJJ1doAAAANAQAADwAAAAAAAAABACAAAAAiAAAAZHJzL2Rvd25yZXYueG1sUEsB&#10;AhQAFAAAAAgAh07iQERnVJ26AQAAcQMAAA4AAAAAAAAAAQAgAAAAKQEAAGRycy9lMm9Eb2MueG1s&#10;UEsFBgAAAAAGAAYAWQEAAFUFAAAAAA==&#10;">
              <v:fill on="f" focussize="0,0"/>
              <v:stroke on="f"/>
              <v:imagedata o:title=""/>
              <o:lock v:ext="edit" aspectratio="f"/>
              <v:textbox inset="0mm,0mm,0mm,0mm">
                <w:txbxContent>
                  <w:p>
                    <w:pPr>
                      <w:spacing w:before="0" w:line="231" w:lineRule="exact"/>
                      <w:ind w:left="20" w:right="0" w:firstLine="0"/>
                      <w:jc w:val="left"/>
                      <w:rPr>
                        <w:sz w:val="19"/>
                      </w:rPr>
                    </w:pPr>
                    <w:r>
                      <w:rPr>
                        <w:sz w:val="19"/>
                      </w:rPr>
                      <w:t xml:space="preserve">第 </w:t>
                    </w:r>
                    <w:r>
                      <w:fldChar w:fldCharType="begin"/>
                    </w:r>
                    <w:r>
                      <w:rPr>
                        <w:sz w:val="19"/>
                      </w:rPr>
                      <w:instrText xml:space="preserve"> PAGE </w:instrText>
                    </w:r>
                    <w:r>
                      <w:fldChar w:fldCharType="separate"/>
                    </w:r>
                    <w:r>
                      <w:t>1</w:t>
                    </w:r>
                    <w:r>
                      <w:fldChar w:fldCharType="end"/>
                    </w:r>
                    <w:r>
                      <w:rPr>
                        <w:sz w:val="19"/>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kYzQzMDg4YmVhN2FiM2I3Njg3OWM1M2RhNjU4MzQifQ=="/>
  </w:docVars>
  <w:rsids>
    <w:rsidRoot w:val="00000000"/>
    <w:rsid w:val="71F662C2"/>
    <w:rsid w:val="7F551B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4">
    <w:name w:val="Default Paragraph Font"/>
    <w:autoRedefine/>
    <w:semiHidden/>
    <w:unhideWhenUsed/>
    <w:qFormat/>
    <w:uiPriority w:val="1"/>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PMingLiU" w:hAnsi="PMingLiU" w:eastAsia="PMingLiU" w:cs="PMingLiU"/>
      <w:sz w:val="35"/>
      <w:szCs w:val="35"/>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autoRedefine/>
    <w:qFormat/>
    <w:uiPriority w:val="1"/>
  </w:style>
  <w:style w:type="paragraph" w:customStyle="1" w:styleId="7">
    <w:name w:val="Table Paragraph"/>
    <w:basedOn w:val="1"/>
    <w:autoRedefine/>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2024-01-08T08:40:00Z</dcterms:created>
  <dc:creator>Administrator</dc:creator>
  <cp:lastModifiedBy>二十两画生</cp:lastModifiedBy>
  <dcterms:modified xsi:type="dcterms:W3CDTF">2024-01-12T07:40:40Z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2024-01-04T00:00:00Z</vt:filetime>
  </property>
  <property fmtid="{D5CDD505-2E9C-101B-9397-08002B2CF9AE}" pid="3" name="Creator">
    <vt:lpwstr>WPS 表格</vt:lpwstr>
  </property>
  <property fmtid="{D5CDD505-2E9C-101B-9397-08002B2CF9AE}" pid="4" name="LastSaved">
    <vt:filetime>2024-01-08T00:00:00Z</vt:filetime>
  </property>
  <property fmtid="{D5CDD505-2E9C-101B-9397-08002B2CF9AE}" pid="5" name="KSOProductBuildVer">
    <vt:lpwstr>2052-12.1.0.16120</vt:lpwstr>
  </property>
  <property fmtid="{D5CDD505-2E9C-101B-9397-08002B2CF9AE}" pid="6" name="ICV">
    <vt:lpwstr>0FFC4BBDB8CA43E899209A15B02AAC21_13</vt:lpwstr>
  </property>
</Properties>
</file>