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wordWrap/>
        <w:overflowPunct/>
        <w:topLinePunct/>
        <w:bidi w:val="0"/>
        <w:jc w:val="left"/>
        <w:textAlignment w:val="center"/>
        <w:rPr>
          <w:rFonts w:hint="eastAsia" w:ascii="方正小标宋简体" w:hAnsi="方正小标宋简体" w:eastAsia="方正小标宋简体" w:cs="方正小标宋简体"/>
          <w:snapToGrid/>
          <w:spacing w:val="0"/>
          <w:kern w:val="2"/>
          <w:sz w:val="28"/>
          <w:szCs w:val="28"/>
          <w:lang w:val="en-US" w:eastAsia="zh-CN" w:bidi="ar-SA"/>
        </w:rPr>
      </w:pPr>
      <w:r>
        <w:rPr>
          <w:rFonts w:hint="eastAsia" w:ascii="方正小标宋简体" w:hAnsi="方正小标宋简体" w:eastAsia="方正小标宋简体" w:cs="方正小标宋简体"/>
          <w:snapToGrid/>
          <w:spacing w:val="0"/>
          <w:kern w:val="2"/>
          <w:sz w:val="28"/>
          <w:szCs w:val="28"/>
          <w:lang w:val="en-US" w:eastAsia="zh-CN" w:bidi="ar-SA"/>
        </w:rPr>
        <w:t xml:space="preserve">附件1 </w:t>
      </w:r>
    </w:p>
    <w:p>
      <w:pPr>
        <w:keepNext w:val="0"/>
        <w:keepLines w:val="0"/>
        <w:pageBreakBefore w:val="0"/>
        <w:widowControl w:val="0"/>
        <w:suppressLineNumbers w:val="0"/>
        <w:wordWrap/>
        <w:overflowPunct/>
        <w:topLinePunct/>
        <w:bidi w:val="0"/>
        <w:jc w:val="center"/>
        <w:textAlignment w:val="center"/>
      </w:pPr>
      <w:r>
        <w:rPr>
          <w:rFonts w:hint="eastAsia" w:ascii="方正小标宋简体" w:hAnsi="方正小标宋简体" w:eastAsia="方正小标宋简体" w:cs="方正小标宋简体"/>
          <w:snapToGrid/>
          <w:spacing w:val="0"/>
          <w:kern w:val="2"/>
          <w:sz w:val="44"/>
          <w:szCs w:val="44"/>
          <w:lang w:val="en-US" w:eastAsia="zh-CN" w:bidi="ar-SA"/>
        </w:rPr>
        <w:t>沁县乡镇行政执法事项清单参考目录</w:t>
      </w:r>
    </w:p>
    <w:p/>
    <w:tbl>
      <w:tblPr>
        <w:tblStyle w:val="4"/>
        <w:tblW w:w="133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711"/>
        <w:gridCol w:w="2214"/>
        <w:gridCol w:w="8569"/>
        <w:gridCol w:w="769"/>
        <w:gridCol w:w="441"/>
        <w:gridCol w:w="12"/>
        <w:gridCol w:w="11"/>
        <w:gridCol w:w="5"/>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tblHeader/>
        </w:trPr>
        <w:tc>
          <w:tcPr>
            <w:tcW w:w="618" w:type="dxa"/>
            <w:vMerge w:val="restart"/>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序号</w:t>
            </w:r>
          </w:p>
        </w:tc>
        <w:tc>
          <w:tcPr>
            <w:tcW w:w="711" w:type="dxa"/>
            <w:vMerge w:val="restart"/>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snapToGrid w:val="0"/>
                <w:sz w:val="22"/>
                <w:szCs w:val="22"/>
                <w:u w:val="none"/>
                <w:lang w:val="en-US" w:eastAsia="zh-CN" w:bidi="ar"/>
              </w:rPr>
            </w:pPr>
            <w:r>
              <w:rPr>
                <w:rFonts w:hint="eastAsia" w:ascii="黑体" w:hAnsi="黑体" w:eastAsia="黑体" w:cs="黑体"/>
                <w:snapToGrid w:val="0"/>
                <w:sz w:val="22"/>
                <w:szCs w:val="22"/>
                <w:u w:val="none"/>
                <w:lang w:val="en-US" w:eastAsia="zh-CN" w:bidi="ar"/>
              </w:rPr>
              <w:t>职权</w:t>
            </w:r>
          </w:p>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snapToGrid w:val="0"/>
                <w:sz w:val="22"/>
                <w:szCs w:val="22"/>
                <w:u w:val="none"/>
                <w:lang w:val="en-US" w:eastAsia="zh-CN" w:bidi="ar"/>
              </w:rPr>
              <w:t>类型</w:t>
            </w:r>
          </w:p>
        </w:tc>
        <w:tc>
          <w:tcPr>
            <w:tcW w:w="2214" w:type="dxa"/>
            <w:vMerge w:val="restart"/>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职权名称</w:t>
            </w:r>
          </w:p>
        </w:tc>
        <w:tc>
          <w:tcPr>
            <w:tcW w:w="8569" w:type="dxa"/>
            <w:vMerge w:val="restart"/>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职    权    依   据</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实施主体</w:t>
            </w:r>
          </w:p>
        </w:tc>
        <w:tc>
          <w:tcPr>
            <w:tcW w:w="469" w:type="dxa"/>
            <w:gridSpan w:val="4"/>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397" w:hRule="atLeast"/>
          <w:tblHeader/>
        </w:trPr>
        <w:tc>
          <w:tcPr>
            <w:tcW w:w="618" w:type="dxa"/>
            <w:vMerge w:val="continue"/>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c>
          <w:tcPr>
            <w:tcW w:w="711" w:type="dxa"/>
            <w:vMerge w:val="continue"/>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c>
          <w:tcPr>
            <w:tcW w:w="2214" w:type="dxa"/>
            <w:vMerge w:val="continue"/>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c>
          <w:tcPr>
            <w:tcW w:w="8569" w:type="dxa"/>
            <w:vMerge w:val="continue"/>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snapToGrid w:val="0"/>
                <w:color w:val="000000"/>
                <w:kern w:val="0"/>
                <w:sz w:val="22"/>
                <w:szCs w:val="22"/>
                <w:u w:val="none"/>
                <w:lang w:val="en-US" w:eastAsia="zh-CN" w:bidi="ar"/>
              </w:rPr>
              <w:t>乡镇</w:t>
            </w:r>
          </w:p>
        </w:tc>
        <w:tc>
          <w:tcPr>
            <w:tcW w:w="469" w:type="dxa"/>
            <w:gridSpan w:val="4"/>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272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行政处罚</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对农村居民未经批准或者违反规划的规定建住宅的行政处罚</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【行政法规】《村庄和集镇规划建设管理条例》（1993年国务院令第116号）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 第三十七条第一款</w:t>
            </w:r>
            <w:r>
              <w:rPr>
                <w:rFonts w:hint="eastAsia" w:ascii="仿宋_GB2312" w:hAnsi="仿宋_GB2312" w:eastAsia="仿宋_GB2312" w:cs="仿宋_GB2312"/>
                <w:snapToGrid w:val="0"/>
                <w:sz w:val="20"/>
                <w:szCs w:val="20"/>
                <w:u w:val="none"/>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第三十七条第二款 </w:t>
            </w:r>
            <w:r>
              <w:rPr>
                <w:rFonts w:hint="eastAsia" w:ascii="仿宋_GB2312" w:hAnsi="仿宋_GB2312" w:eastAsia="仿宋_GB2312" w:cs="仿宋_GB2312"/>
                <w:snapToGrid w:val="0"/>
                <w:sz w:val="20"/>
                <w:szCs w:val="20"/>
                <w:u w:val="none"/>
                <w:lang w:val="en-US" w:eastAsia="zh-CN" w:bidi="ar"/>
              </w:rPr>
              <w:t xml:space="preserve"> 农村居民未经批准或者违反规划的规定建住宅的，乡级人民政府可以依照前款规定处罚。</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9" w:type="dxa"/>
            <w:gridSpan w:val="4"/>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1835"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行政处罚</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对损坏村庄和集镇的房屋、公共设施或乱堆粪便、垃圾、柴草，破坏村容镇貌和环境卫生的行政处罚</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【行政法规】《村庄和集镇规划建设管理条例》（1993年国务院令第116号）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第三十九条</w:t>
            </w:r>
            <w:r>
              <w:rPr>
                <w:rFonts w:hint="eastAsia" w:ascii="仿宋_GB2312" w:hAnsi="仿宋_GB2312" w:eastAsia="仿宋_GB2312" w:cs="仿宋_GB2312"/>
                <w:snapToGrid w:val="0"/>
                <w:sz w:val="20"/>
                <w:szCs w:val="20"/>
                <w:u w:val="none"/>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9" w:type="dxa"/>
            <w:gridSpan w:val="4"/>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2125"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行政处罚</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对单位和个人损坏或者擅自移动有钉螺地带警示标志的行政处罚</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【行政法规】《血吸虫病防治条例》（2006年国务院令第463号，2019年修订）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第五十一条</w:t>
            </w:r>
            <w:r>
              <w:rPr>
                <w:rFonts w:hint="eastAsia" w:ascii="仿宋_GB2312" w:hAnsi="仿宋_GB2312" w:eastAsia="仿宋_GB2312" w:cs="仿宋_GB2312"/>
                <w:snapToGrid w:val="0"/>
                <w:sz w:val="20"/>
                <w:szCs w:val="20"/>
                <w:u w:val="none"/>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9" w:type="dxa"/>
            <w:gridSpan w:val="4"/>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35"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行政处罚</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对农村村民非法占用土地建住宅的行政处罚</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【法律】《中华人民共和国土地管理法》（2019年修正）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第七十八条</w:t>
            </w:r>
            <w:r>
              <w:rPr>
                <w:rFonts w:hint="eastAsia" w:ascii="仿宋_GB2312" w:hAnsi="仿宋_GB2312" w:eastAsia="仿宋_GB2312" w:cs="仿宋_GB2312"/>
                <w:snapToGrid w:val="0"/>
                <w:sz w:val="20"/>
                <w:szCs w:val="20"/>
                <w:u w:val="none"/>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【规范性文件】《山西省人民政府关于赋予乡镇人民政府和街道办事处农村村民非法占用土地建住宅行政执法权的通告》（晋政函〔2022〕4号）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一、乡镇人民政府（街道办事处）负责本行政区域内农房建设日常巡查监管, 受理群众举报和投诉; 发现农村村民非法占用土地建住宅的, 应责令停止建设、 限期改正, 逾期不改正的, 依法向人民法院申请强制执行。</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41" w:type="dxa"/>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35"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行政处罚</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对未经批准损坏村道及村道设施的行政处罚</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【地方性法规】《山西省公路条例》（2013年1月施行）</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第五十六条第一款</w:t>
            </w:r>
            <w:r>
              <w:rPr>
                <w:rFonts w:hint="eastAsia" w:ascii="仿宋_GB2312" w:hAnsi="仿宋_GB2312" w:eastAsia="仿宋_GB2312" w:cs="仿宋_GB2312"/>
                <w:snapToGrid w:val="0"/>
                <w:sz w:val="20"/>
                <w:szCs w:val="20"/>
                <w:u w:val="none"/>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第六十五条 </w:t>
            </w:r>
            <w:r>
              <w:rPr>
                <w:rFonts w:hint="eastAsia" w:ascii="仿宋_GB2312" w:hAnsi="仿宋_GB2312" w:eastAsia="仿宋_GB2312" w:cs="仿宋_GB2312"/>
                <w:snapToGrid w:val="0"/>
                <w:sz w:val="20"/>
                <w:szCs w:val="20"/>
                <w:u w:val="none"/>
                <w:lang w:val="en-US" w:eastAsia="zh-CN" w:bidi="ar"/>
              </w:rPr>
              <w:t xml:space="preserve"> 违反本条例第五十六条第一款规定的，由乡（镇）人民政府责令限期改正；逾期未改正的，处以二百元以上一千元以下罚款。</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41" w:type="dxa"/>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214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w w:val="100"/>
                <w:kern w:val="0"/>
                <w:sz w:val="20"/>
                <w:szCs w:val="20"/>
                <w:u w:val="none"/>
                <w:lang w:val="en-US" w:eastAsia="zh-CN" w:bidi="ar"/>
              </w:rPr>
              <w:t>对在乡、村庄规划区内未依法取得乡村建设规划许可证或者未按照乡村建设规划许可证的规定进行建设的，逾期不改正的强制拆除</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【法律】《中华人民共和国城乡规划法》（2019年修正）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第六十五条</w:t>
            </w:r>
            <w:r>
              <w:rPr>
                <w:rFonts w:hint="eastAsia" w:ascii="仿宋_GB2312" w:hAnsi="仿宋_GB2312" w:eastAsia="仿宋_GB2312" w:cs="仿宋_GB2312"/>
                <w:snapToGrid w:val="0"/>
                <w:sz w:val="20"/>
                <w:szCs w:val="20"/>
                <w:u w:val="none"/>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对在依法划定的电力设施保护区内修建的建筑物、构筑物或者种植的植物、堆放物品危及电力设施安全的强制拆除、砍伐或者清除</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【法律】《中华人民共和国电力法》 （2018年修正）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第五十三条</w:t>
            </w:r>
            <w:r>
              <w:rPr>
                <w:rFonts w:hint="eastAsia" w:ascii="仿宋_GB2312" w:hAnsi="仿宋_GB2312" w:eastAsia="仿宋_GB2312" w:cs="仿宋_GB2312"/>
                <w:snapToGrid w:val="0"/>
                <w:sz w:val="20"/>
                <w:szCs w:val="20"/>
                <w:u w:val="none"/>
                <w:lang w:val="en-US" w:eastAsia="zh-CN" w:bidi="ar"/>
              </w:rPr>
              <w:t>　电力管理部门应当按照国务院有关电力设施保护的规定，对电力设施保护区设立标志。</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在依法划定电力设施保护区前已经种植的植物妨碍电力设施安全的，应当修剪或者砍伐。</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 第六十九条</w:t>
            </w:r>
            <w:r>
              <w:rPr>
                <w:rFonts w:hint="eastAsia" w:ascii="仿宋_GB2312" w:hAnsi="仿宋_GB2312" w:eastAsia="仿宋_GB2312" w:cs="仿宋_GB2312"/>
                <w:snapToGrid w:val="0"/>
                <w:sz w:val="20"/>
                <w:szCs w:val="20"/>
                <w:u w:val="none"/>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2681"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对非法种植毒品原植物的制止、铲除</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【法律】《中华人民共和国禁毒法》（2008年6月施行）</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第十九条第二款</w:t>
            </w:r>
            <w:r>
              <w:rPr>
                <w:rFonts w:hint="eastAsia" w:ascii="仿宋_GB2312" w:hAnsi="仿宋_GB2312" w:eastAsia="仿宋_GB2312" w:cs="仿宋_GB2312"/>
                <w:snapToGrid w:val="0"/>
                <w:sz w:val="20"/>
                <w:szCs w:val="20"/>
                <w:u w:val="none"/>
                <w:lang w:val="en-US" w:eastAsia="zh-CN" w:bidi="ar"/>
              </w:rPr>
              <w:t xml:space="preserve">  地方各级人民政府发现非法种植毒品原植物的，应当立即采取措施予以制止、铲除。</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【地方性法规】《山西省禁毒条例》（2020年修订）   </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第十七条</w:t>
            </w:r>
            <w:r>
              <w:rPr>
                <w:rFonts w:hint="eastAsia" w:ascii="仿宋_GB2312" w:hAnsi="仿宋_GB2312" w:eastAsia="仿宋_GB2312" w:cs="仿宋_GB2312"/>
                <w:snapToGrid w:val="0"/>
                <w:sz w:val="20"/>
                <w:szCs w:val="20"/>
                <w:u w:val="none"/>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209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对防汛遇到阻拦和拖延时的强制实施</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【行政法规】《中华人民共和国防汛条例》（2011年修订）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第三十三条第二款</w:t>
            </w:r>
            <w:r>
              <w:rPr>
                <w:rFonts w:hint="eastAsia" w:ascii="仿宋_GB2312" w:hAnsi="仿宋_GB2312" w:eastAsia="仿宋_GB2312" w:cs="仿宋_GB2312"/>
                <w:snapToGrid w:val="0"/>
                <w:sz w:val="20"/>
                <w:szCs w:val="20"/>
                <w:u w:val="none"/>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第三十三条第三款</w:t>
            </w:r>
            <w:r>
              <w:rPr>
                <w:rFonts w:hint="eastAsia" w:ascii="仿宋_GB2312" w:hAnsi="仿宋_GB2312" w:eastAsia="仿宋_GB2312" w:cs="仿宋_GB2312"/>
                <w:snapToGrid w:val="0"/>
                <w:sz w:val="20"/>
                <w:szCs w:val="20"/>
                <w:u w:val="none"/>
                <w:lang w:val="en-US" w:eastAsia="zh-CN" w:bidi="ar"/>
              </w:rPr>
              <w:t xml:space="preserve">  实施上述措施时，任何单位和个人不得阻拦，如遇到阻拦和拖延时，有管辖权的人民政府有权组织强制实施。</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134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对受到地质灾害威胁情况紧急时的强行避灾疏散</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【行政法规】《地质灾害防治条例》（2003年国务院令第394号） </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第二十九条</w:t>
            </w:r>
            <w:r>
              <w:rPr>
                <w:rFonts w:hint="eastAsia" w:ascii="仿宋_GB2312" w:hAnsi="仿宋_GB2312" w:eastAsia="仿宋_GB2312" w:cs="仿宋_GB2312"/>
                <w:snapToGrid w:val="0"/>
                <w:sz w:val="20"/>
                <w:szCs w:val="20"/>
                <w:u w:val="none"/>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行政强制</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组织饲养动物的单位和个人做好强制免疫</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【法律】《中华人民共和国动物防疫法》（2021年修订）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 第八条第二款  </w:t>
            </w:r>
            <w:r>
              <w:rPr>
                <w:rFonts w:hint="eastAsia" w:ascii="仿宋_GB2312" w:hAnsi="仿宋_GB2312" w:eastAsia="仿宋_GB2312" w:cs="仿宋_GB2312"/>
                <w:snapToGrid w:val="0"/>
                <w:sz w:val="20"/>
                <w:szCs w:val="20"/>
                <w:u w:val="none"/>
                <w:lang w:val="en-US" w:eastAsia="zh-CN" w:bidi="ar"/>
              </w:rPr>
              <w:t>乡级人民政府、街道办事处组织群众做好本辖区的动物疫病预防与控制工作，村民委员会、居民委员会予以协助。</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snapToGrid w:val="0"/>
                <w:sz w:val="20"/>
                <w:szCs w:val="20"/>
                <w:u w:val="none"/>
                <w:lang w:val="en-US" w:eastAsia="zh-CN" w:bidi="ar"/>
              </w:rPr>
              <w:t xml:space="preserve">    第十八条第二款  </w:t>
            </w:r>
            <w:r>
              <w:rPr>
                <w:rFonts w:hint="eastAsia" w:ascii="仿宋_GB2312" w:hAnsi="仿宋_GB2312" w:eastAsia="仿宋_GB2312" w:cs="仿宋_GB2312"/>
                <w:snapToGrid w:val="0"/>
                <w:sz w:val="20"/>
                <w:szCs w:val="20"/>
                <w:u w:val="none"/>
                <w:lang w:val="en-US" w:eastAsia="zh-CN" w:bidi="ar"/>
              </w:rPr>
              <w:t>乡级人民政府、街道办事处组织本辖区饲养动物的单位和个人做好强制免疫，协助做好监督检查；村民委员会、居民委员会协助做好相关工作。</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对生产经营单位安全生产状况的监督检查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【法律】《中华人民共和国安全生产法》（2021年修正）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第九条第二款  </w:t>
            </w:r>
            <w:r>
              <w:rPr>
                <w:rFonts w:hint="eastAsia" w:ascii="仿宋_GB2312" w:hAnsi="仿宋_GB2312" w:eastAsia="仿宋_GB2312" w:cs="仿宋_GB2312"/>
                <w:snapToGrid w:val="0"/>
                <w:sz w:val="20"/>
                <w:szCs w:val="20"/>
                <w:u w:val="none"/>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【政府规章】《山西省生产经营单位主要负责人安全生产责任制规定》（2021年省政府令第293号）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第四条第二款 </w:t>
            </w:r>
            <w:r>
              <w:rPr>
                <w:rFonts w:hint="eastAsia" w:ascii="仿宋_GB2312" w:hAnsi="仿宋_GB2312" w:eastAsia="仿宋_GB2312" w:cs="仿宋_GB2312"/>
                <w:snapToGrid w:val="0"/>
                <w:sz w:val="20"/>
                <w:szCs w:val="20"/>
                <w:u w:val="none"/>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对本行政区域内农产品生产的检查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【地方性法规】《山西省农产品质量安全条例》（2012年3月施行）</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第三条第三款  </w:t>
            </w:r>
            <w:r>
              <w:rPr>
                <w:rFonts w:hint="eastAsia" w:ascii="仿宋_GB2312" w:hAnsi="仿宋_GB2312" w:eastAsia="仿宋_GB2312" w:cs="仿宋_GB2312"/>
                <w:snapToGrid w:val="0"/>
                <w:sz w:val="20"/>
                <w:szCs w:val="20"/>
                <w:u w:val="none"/>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230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对食品小作坊、小经营店和小摊点的生产经营活动的现场巡查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【地方性法规】《山西省食品小作坊小经营店小摊点管理条例》（2021年修正）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第三十六条</w:t>
            </w:r>
            <w:r>
              <w:rPr>
                <w:rFonts w:hint="eastAsia" w:ascii="仿宋_GB2312" w:hAnsi="仿宋_GB2312" w:eastAsia="仿宋_GB2312" w:cs="仿宋_GB2312"/>
                <w:snapToGrid w:val="0"/>
                <w:sz w:val="20"/>
                <w:szCs w:val="20"/>
                <w:u w:val="none"/>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3223"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对辖区内渡口渡运的监督检查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【部门规章】《内河渡口渡船安全管理规定》（2014年交通运输部令第9号）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第三十五条  </w:t>
            </w:r>
            <w:r>
              <w:rPr>
                <w:rFonts w:hint="eastAsia" w:ascii="仿宋_GB2312" w:hAnsi="仿宋_GB2312" w:eastAsia="仿宋_GB2312" w:cs="仿宋_GB2312"/>
                <w:snapToGrid w:val="0"/>
                <w:sz w:val="20"/>
                <w:szCs w:val="20"/>
                <w:u w:val="none"/>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第三十六条  </w:t>
            </w:r>
            <w:r>
              <w:rPr>
                <w:rFonts w:hint="eastAsia" w:ascii="仿宋_GB2312" w:hAnsi="仿宋_GB2312" w:eastAsia="仿宋_GB2312" w:cs="仿宋_GB2312"/>
                <w:snapToGrid w:val="0"/>
                <w:sz w:val="20"/>
                <w:szCs w:val="20"/>
                <w:u w:val="none"/>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签单人员应当如实记录渡运情况，不得弄虚作假；发现渡运安全隐患或者违法行为，可能危及渡运安全时，应当报告乡镇人民政府。</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乡镇人民政府应当定期对签单发航制度的实施情况进行检查。</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对本辖区内煤、铁、焦炭等重点货运源头单位的监督管理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【政府规章】《山西省道路货物运输源头治理超限超载暂行办法》（2008年省政府令第223号）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第五条第二款  </w:t>
            </w:r>
            <w:r>
              <w:rPr>
                <w:rFonts w:hint="eastAsia" w:ascii="仿宋_GB2312" w:hAnsi="仿宋_GB2312" w:eastAsia="仿宋_GB2312" w:cs="仿宋_GB2312"/>
                <w:snapToGrid w:val="0"/>
                <w:sz w:val="20"/>
                <w:szCs w:val="20"/>
                <w:u w:val="none"/>
                <w:lang w:val="en-US" w:eastAsia="zh-CN" w:bidi="ar"/>
              </w:rPr>
              <w:t>乡（镇）人民政府对本辖区内煤、铁、焦炭等重点货运源头单位可以派驻人员进行监督管理。</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2"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17</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对本辖区禁止野外用火的监督管理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【地方性法规】《山西省人民代表大会常务委员会关于禁止野外用火的决定》（2020年5月施行）</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七、县（市、区）、乡（镇）人民政府应当依法在重要路口设立防火检查站，在重点地段、重点区域设置巡山、护林专业队，做好巡查巡护。</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64" w:type="dxa"/>
            <w:gridSpan w:val="3"/>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18</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对地质灾害险情的检查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【行政法规】《地质灾害防治条例》（2003年国务院令第394号）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第十五条第一款</w:t>
            </w:r>
            <w:r>
              <w:rPr>
                <w:rFonts w:hint="eastAsia" w:ascii="仿宋_GB2312" w:hAnsi="仿宋_GB2312" w:eastAsia="仿宋_GB2312" w:cs="仿宋_GB2312"/>
                <w:snapToGrid w:val="0"/>
                <w:sz w:val="20"/>
                <w:szCs w:val="20"/>
                <w:u w:val="none"/>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6"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19</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对消防安全的检查</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【法律】《中华人民共和国消防法》（2021年修正）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第三十一条</w:t>
            </w:r>
            <w:r>
              <w:rPr>
                <w:rFonts w:hint="eastAsia" w:ascii="仿宋_GB2312" w:hAnsi="仿宋_GB2312" w:eastAsia="仿宋_GB2312" w:cs="仿宋_GB2312"/>
                <w:snapToGrid w:val="0"/>
                <w:sz w:val="20"/>
                <w:szCs w:val="20"/>
                <w:u w:val="none"/>
                <w:lang w:val="en-US" w:eastAsia="zh-CN" w:bidi="ar"/>
              </w:rPr>
              <w:t>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第三十二条</w:t>
            </w:r>
            <w:r>
              <w:rPr>
                <w:rFonts w:hint="eastAsia" w:ascii="仿宋_GB2312" w:hAnsi="仿宋_GB2312" w:eastAsia="仿宋_GB2312" w:cs="仿宋_GB2312"/>
                <w:snapToGrid w:val="0"/>
                <w:sz w:val="20"/>
                <w:szCs w:val="20"/>
                <w:u w:val="none"/>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【政府规章】《山西省消防安全责任制实施办法》（2020年省政府令第267号）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 第八条</w:t>
            </w:r>
            <w:r>
              <w:rPr>
                <w:rFonts w:hint="eastAsia" w:ascii="仿宋_GB2312" w:hAnsi="仿宋_GB2312" w:eastAsia="仿宋_GB2312" w:cs="仿宋_GB2312"/>
                <w:snapToGrid w:val="0"/>
                <w:sz w:val="20"/>
                <w:szCs w:val="20"/>
                <w:u w:val="none"/>
                <w:lang w:val="en-US" w:eastAsia="zh-CN" w:bidi="ar"/>
              </w:rPr>
              <w:t xml:space="preserve">  乡（镇）人民政府履行下列消防安全工作职责：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（三）根据当地经济发展和消防工作的需要，建立承担火灾扑救、应急救援等职能的专职消防队、志愿消防队，开展消防宣传、防火巡查、隐患查改；</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街道办事处应当履行除前款第（一）项规定以外的职责。</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20</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行政检查</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指导、监督、检查宗教活动场所</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【行政法规】《宗教事务条例》（2004年国务院令第426号，2017年修订）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第二十六条</w:t>
            </w:r>
            <w:r>
              <w:rPr>
                <w:rFonts w:hint="eastAsia" w:ascii="仿宋_GB2312" w:hAnsi="仿宋_GB2312" w:eastAsia="仿宋_GB2312" w:cs="仿宋_GB2312"/>
                <w:snapToGrid w:val="0"/>
                <w:sz w:val="20"/>
                <w:szCs w:val="20"/>
                <w:u w:val="none"/>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21</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对农村集体经济组织或者村民委员会强迫农民以资代劳的责令改正</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【法律】《中华人民共和国农业法》（2012年修订）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第七十三条第二款</w:t>
            </w:r>
            <w:r>
              <w:rPr>
                <w:rFonts w:hint="eastAsia" w:ascii="仿宋_GB2312" w:hAnsi="仿宋_GB2312" w:eastAsia="仿宋_GB2312" w:cs="仿宋_GB2312"/>
                <w:snapToGrid w:val="0"/>
                <w:sz w:val="20"/>
                <w:szCs w:val="20"/>
                <w:u w:val="none"/>
                <w:lang w:val="en-US" w:eastAsia="zh-CN" w:bidi="ar"/>
              </w:rPr>
              <w:t xml:space="preserve">  农村集体经济组织或者村民委员会依照前款规定筹资筹劳的，不得超过省级以上人民政府规定的上限控制标准，禁止强行以资代劳。   </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第九十五条</w:t>
            </w:r>
            <w:r>
              <w:rPr>
                <w:rFonts w:hint="eastAsia" w:ascii="仿宋_GB2312" w:hAnsi="仿宋_GB2312" w:eastAsia="仿宋_GB2312" w:cs="仿宋_GB2312"/>
                <w:snapToGrid w:val="0"/>
                <w:sz w:val="20"/>
                <w:szCs w:val="20"/>
                <w:u w:val="none"/>
                <w:lang w:val="en-US" w:eastAsia="zh-CN" w:bidi="ar"/>
              </w:rPr>
              <w:t xml:space="preserve">  违反本法第七十三条第二款规定，强迫农民以资代劳的，由乡（镇）人民政府责令改正，并退还违法收取的资金。</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22</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对村民自治章程、村规民约以及村民会议或者村民代表会议的决定违反有关规定的处理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【地方性法规】《山西省实施&lt;中华人民共和国村民委员会组织法&gt;办法》（2018年修订）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第十八条第二款</w:t>
            </w:r>
            <w:r>
              <w:rPr>
                <w:rFonts w:hint="eastAsia" w:ascii="仿宋_GB2312" w:hAnsi="仿宋_GB2312" w:eastAsia="仿宋_GB2312" w:cs="仿宋_GB2312"/>
                <w:snapToGrid w:val="0"/>
                <w:sz w:val="20"/>
                <w:szCs w:val="20"/>
                <w:u w:val="none"/>
                <w:lang w:val="en-US" w:eastAsia="zh-CN" w:bidi="ar"/>
              </w:rPr>
              <w:t xml:space="preserve">  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第十八条第三款</w:t>
            </w:r>
            <w:r>
              <w:rPr>
                <w:rFonts w:hint="eastAsia" w:ascii="仿宋_GB2312" w:hAnsi="仿宋_GB2312" w:eastAsia="仿宋_GB2312" w:cs="仿宋_GB2312"/>
                <w:snapToGrid w:val="0"/>
                <w:sz w:val="20"/>
                <w:szCs w:val="20"/>
                <w:u w:val="none"/>
                <w:lang w:val="en-US" w:eastAsia="zh-CN" w:bidi="ar"/>
              </w:rPr>
              <w:t xml:space="preserve">  村民自治章程、村规民约以及村民会议或者村民代表会议的决定违反前款规定的，由乡（镇）人民政府责令改正。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第三十八条</w:t>
            </w:r>
            <w:r>
              <w:rPr>
                <w:rFonts w:hint="eastAsia" w:ascii="仿宋_GB2312" w:hAnsi="仿宋_GB2312" w:eastAsia="仿宋_GB2312" w:cs="仿宋_GB2312"/>
                <w:snapToGrid w:val="0"/>
                <w:sz w:val="20"/>
                <w:szCs w:val="20"/>
                <w:u w:val="none"/>
                <w:lang w:val="en-US" w:eastAsia="zh-CN" w:bidi="ar"/>
              </w:rPr>
              <w:t xml:space="preserve">  本办法中关于乡（镇）人民政府的职责的规定适用于辖区内设村的街道办事处。</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23</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对村民委员会或者村民委员会成员作出的决定侵害村民合法权益不依照法律、法规的规定履行法定义务的处理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【法律】《中华人民共和国村民委员会组织法》 （2018年修正）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 第三十六条</w:t>
            </w:r>
            <w:r>
              <w:rPr>
                <w:rFonts w:hint="eastAsia" w:ascii="仿宋_GB2312" w:hAnsi="仿宋_GB2312" w:eastAsia="仿宋_GB2312" w:cs="仿宋_GB2312"/>
                <w:snapToGrid w:val="0"/>
                <w:sz w:val="20"/>
                <w:szCs w:val="20"/>
                <w:u w:val="none"/>
                <w:lang w:val="en-US" w:eastAsia="zh-CN" w:bidi="ar"/>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24</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对业主大会、业主委员会作出的决定违反法律、法规的处理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【行政法规】《物业管理条例》（2018年修订）</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第十九条第二款</w:t>
            </w:r>
            <w:r>
              <w:rPr>
                <w:rFonts w:hint="eastAsia" w:ascii="仿宋_GB2312" w:hAnsi="仿宋_GB2312" w:eastAsia="仿宋_GB2312" w:cs="仿宋_GB2312"/>
                <w:snapToGrid w:val="0"/>
                <w:sz w:val="20"/>
                <w:szCs w:val="20"/>
                <w:u w:val="none"/>
                <w:lang w:val="en-US" w:eastAsia="zh-CN" w:bidi="ar"/>
              </w:rPr>
              <w:t>　业主大会、业主委员会作出的决定违反法律、法规的，物业所在地的区、县人民政府房地产行政主管部门或者街道办事处、乡镇人民政府，应当责令限期改正或者撤销其决定，并通告全体业主。</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76" w:type="dxa"/>
            <w:gridSpan w:val="5"/>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3" w:type="dxa"/>
          <w:trHeight w:val="6179"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25</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对村民委员会选举相关违法行为的处理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【地方性法规】《山西省村民委员会选举办法》（2020年修正）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第五十五条</w:t>
            </w:r>
            <w:r>
              <w:rPr>
                <w:rFonts w:hint="eastAsia" w:ascii="仿宋_GB2312" w:hAnsi="仿宋_GB2312" w:eastAsia="仿宋_GB2312" w:cs="仿宋_GB2312"/>
                <w:snapToGrid w:val="0"/>
                <w:sz w:val="20"/>
                <w:szCs w:val="20"/>
                <w:u w:val="none"/>
                <w:lang w:val="en-US" w:eastAsia="zh-CN" w:bidi="ar"/>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 xml:space="preserve">第五十六条 </w:t>
            </w:r>
            <w:r>
              <w:rPr>
                <w:rFonts w:hint="eastAsia" w:ascii="仿宋_GB2312" w:hAnsi="仿宋_GB2312" w:eastAsia="仿宋_GB2312" w:cs="仿宋_GB2312"/>
                <w:snapToGrid w:val="0"/>
                <w:sz w:val="20"/>
                <w:szCs w:val="20"/>
                <w:u w:val="none"/>
                <w:lang w:val="en-US" w:eastAsia="zh-CN" w:bidi="ar"/>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第五十八条</w:t>
            </w:r>
            <w:r>
              <w:rPr>
                <w:rFonts w:hint="eastAsia" w:ascii="仿宋_GB2312" w:hAnsi="仿宋_GB2312" w:eastAsia="仿宋_GB2312" w:cs="仿宋_GB2312"/>
                <w:snapToGrid w:val="0"/>
                <w:sz w:val="20"/>
                <w:szCs w:val="20"/>
                <w:u w:val="none"/>
                <w:lang w:val="en-US" w:eastAsia="zh-CN" w:bidi="ar"/>
              </w:rPr>
              <w:t xml:space="preserve">  以暴力、威胁、欺骗、贿赂、伪造选票、虚报选举票数等不正当手段当选村民委员会成员的，由乡（镇）或者县级人民政府宣布其当选无效，同时取消其在本届再次竞选的资格。</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453" w:type="dxa"/>
            <w:gridSpan w:val="2"/>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3"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26</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对危害文物保护单位安全、破坏文物保护单位历史风貌的建筑物、构筑物的处理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【法律】《中华人民共和国文物保护法》（2017年修正）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第二十六条</w:t>
            </w:r>
            <w:r>
              <w:rPr>
                <w:rFonts w:hint="eastAsia" w:ascii="仿宋_GB2312" w:hAnsi="仿宋_GB2312" w:eastAsia="仿宋_GB2312" w:cs="仿宋_GB2312"/>
                <w:snapToGrid w:val="0"/>
                <w:sz w:val="20"/>
                <w:szCs w:val="20"/>
                <w:u w:val="none"/>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53" w:type="dxa"/>
            <w:gridSpan w:val="2"/>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3"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27</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对适龄儿童、少年的父母或者其他法定监护人无正当理由未依法送适龄儿童、少年入学接受义务教育的行为的处理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【法律】《中华人民共和国义务教育法》（2018年修正）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第五十八条</w:t>
            </w:r>
            <w:r>
              <w:rPr>
                <w:rFonts w:hint="eastAsia" w:ascii="仿宋_GB2312" w:hAnsi="仿宋_GB2312" w:eastAsia="仿宋_GB2312" w:cs="仿宋_GB2312"/>
                <w:snapToGrid w:val="0"/>
                <w:sz w:val="20"/>
                <w:szCs w:val="20"/>
                <w:u w:val="none"/>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53" w:type="dxa"/>
            <w:gridSpan w:val="2"/>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lef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3" w:type="dxa"/>
          <w:trHeight w:val="1928"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snapToGrid w:val="0"/>
                <w:color w:val="000000"/>
                <w:kern w:val="0"/>
                <w:sz w:val="20"/>
                <w:szCs w:val="20"/>
                <w:u w:val="none"/>
                <w:lang w:val="en-US" w:eastAsia="zh-CN" w:bidi="ar"/>
              </w:rPr>
              <w:t>28</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对侵占、破坏学校体育场地、器材、设备的行为的处理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【部门规章】《学校体育工作条例》（1990年国家教育委员会令第8号、国家体委令第10号，2017年修正）</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第二十八条</w:t>
            </w:r>
            <w:r>
              <w:rPr>
                <w:rFonts w:hint="eastAsia" w:ascii="仿宋_GB2312" w:hAnsi="仿宋_GB2312" w:eastAsia="仿宋_GB2312" w:cs="仿宋_GB2312"/>
                <w:snapToGrid w:val="0"/>
                <w:sz w:val="20"/>
                <w:szCs w:val="20"/>
                <w:u w:val="none"/>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453" w:type="dxa"/>
            <w:gridSpan w:val="2"/>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3" w:type="dxa"/>
          <w:trHeight w:val="397" w:hRule="atLeast"/>
        </w:trPr>
        <w:tc>
          <w:tcPr>
            <w:tcW w:w="618"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29</w:t>
            </w:r>
          </w:p>
        </w:tc>
        <w:tc>
          <w:tcPr>
            <w:tcW w:w="711"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2214"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对农村自建低层房屋建设的监督管理</w:t>
            </w:r>
          </w:p>
        </w:tc>
        <w:tc>
          <w:tcPr>
            <w:tcW w:w="8569" w:type="dxa"/>
            <w:tcBorders>
              <w:tl2br w:val="nil"/>
              <w:tr2bl w:val="nil"/>
            </w:tcBorders>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【规范性文件】《山西省人民政府办公厅关于印发山西省农村集体建设用地房屋建筑设计施工监理管理服务办法（试行）的通知》（晋政办发〔2020〕117号）</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第二十九条</w:t>
            </w:r>
            <w:r>
              <w:rPr>
                <w:rFonts w:hint="eastAsia" w:ascii="仿宋_GB2312" w:hAnsi="仿宋_GB2312" w:eastAsia="仿宋_GB2312" w:cs="仿宋_GB2312"/>
                <w:snapToGrid w:val="0"/>
                <w:sz w:val="20"/>
                <w:szCs w:val="20"/>
                <w:u w:val="none"/>
                <w:lang w:val="en-US" w:eastAsia="zh-CN" w:bidi="ar"/>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p>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eastAsia" w:ascii="仿宋_GB2312" w:hAnsi="仿宋_GB2312" w:eastAsia="仿宋_GB2312" w:cs="仿宋_GB2312"/>
                <w:snapToGrid w:val="0"/>
                <w:sz w:val="20"/>
                <w:szCs w:val="20"/>
                <w:u w:val="none"/>
                <w:lang w:val="en-US" w:eastAsia="zh-CN" w:bidi="ar"/>
              </w:rPr>
            </w:pPr>
            <w:r>
              <w:rPr>
                <w:rFonts w:hint="eastAsia" w:ascii="仿宋_GB2312" w:hAnsi="仿宋_GB2312" w:eastAsia="仿宋_GB2312" w:cs="仿宋_GB2312"/>
                <w:snapToGrid w:val="0"/>
                <w:sz w:val="20"/>
                <w:szCs w:val="20"/>
                <w:u w:val="none"/>
                <w:lang w:val="en-US" w:eastAsia="zh-CN" w:bidi="ar"/>
              </w:rPr>
              <w:t xml:space="preserve">    </w:t>
            </w:r>
            <w:r>
              <w:rPr>
                <w:rFonts w:hint="eastAsia" w:ascii="仿宋_GB2312" w:hAnsi="仿宋_GB2312" w:eastAsia="仿宋_GB2312" w:cs="仿宋_GB2312"/>
                <w:b/>
                <w:bCs/>
                <w:snapToGrid w:val="0"/>
                <w:sz w:val="20"/>
                <w:szCs w:val="20"/>
                <w:u w:val="none"/>
                <w:lang w:val="en-US" w:eastAsia="zh-CN" w:bidi="ar"/>
              </w:rPr>
              <w:t>第三十条第一款</w:t>
            </w:r>
            <w:r>
              <w:rPr>
                <w:rFonts w:hint="eastAsia" w:ascii="仿宋_GB2312" w:hAnsi="仿宋_GB2312" w:eastAsia="仿宋_GB2312" w:cs="仿宋_GB2312"/>
                <w:snapToGrid w:val="0"/>
                <w:sz w:val="20"/>
                <w:szCs w:val="20"/>
                <w:u w:val="none"/>
                <w:lang w:val="en-US" w:eastAsia="zh-CN" w:bidi="ar"/>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769" w:type="dxa"/>
            <w:tcBorders>
              <w:tl2br w:val="nil"/>
              <w:tr2bl w:val="nil"/>
            </w:tcBorders>
            <w:noWrap w:val="0"/>
            <w:vAlign w:val="center"/>
          </w:tcPr>
          <w:p>
            <w:pPr>
              <w:keepNext w:val="0"/>
              <w:keepLines w:val="0"/>
              <w:pageBreakBefore w:val="0"/>
              <w:widowControl w:val="0"/>
              <w:suppressLineNumbers w:val="0"/>
              <w:wordWrap/>
              <w:overflowPunct/>
              <w:topLinePunct/>
              <w:bidi w:val="0"/>
              <w:adjustRightInd w:val="0"/>
              <w:snapToGrid w:val="0"/>
              <w:spacing w:line="300" w:lineRule="exact"/>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w:t>
            </w:r>
          </w:p>
        </w:tc>
        <w:tc>
          <w:tcPr>
            <w:tcW w:w="453" w:type="dxa"/>
            <w:gridSpan w:val="2"/>
            <w:tcBorders>
              <w:tl2br w:val="nil"/>
              <w:tr2bl w:val="nil"/>
            </w:tcBorders>
            <w:noWrap w:val="0"/>
            <w:vAlign w:val="center"/>
          </w:tcPr>
          <w:p>
            <w:pPr>
              <w:keepNext w:val="0"/>
              <w:keepLines w:val="0"/>
              <w:pageBreakBefore w:val="0"/>
              <w:widowControl w:val="0"/>
              <w:wordWrap/>
              <w:overflowPunct/>
              <w:topLinePunct/>
              <w:bidi w:val="0"/>
              <w:adjustRightInd w:val="0"/>
              <w:snapToGrid w:val="0"/>
              <w:spacing w:line="300" w:lineRule="exact"/>
              <w:jc w:val="center"/>
              <w:rPr>
                <w:rFonts w:hint="eastAsia" w:ascii="宋体" w:hAnsi="宋体" w:eastAsia="宋体" w:cs="宋体"/>
                <w:i w:val="0"/>
                <w:iCs w:val="0"/>
                <w:color w:val="000000"/>
                <w:sz w:val="22"/>
                <w:szCs w:val="22"/>
                <w:u w:val="none"/>
              </w:rPr>
            </w:pPr>
          </w:p>
        </w:tc>
      </w:tr>
    </w:tbl>
    <w:p>
      <w:bookmarkStart w:id="0" w:name="_GoBack"/>
      <w:bookmarkEnd w:id="0"/>
    </w:p>
    <w:sectPr>
      <w:pgSz w:w="16838" w:h="11906" w:orient="landscape"/>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2A32"/>
    <w:rsid w:val="0904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仿宋_GB2312" w:hAnsi="仿宋_GB2312" w:eastAsia="仿宋_GB2312" w:cs="Times New Roman"/>
      <w:color w:val="000000"/>
      <w:sz w:val="24"/>
      <w:lang w:val="en-US" w:eastAsia="zh-CN"/>
    </w:rPr>
  </w:style>
  <w:style w:type="paragraph" w:styleId="3">
    <w:name w:val="footer"/>
    <w:basedOn w:val="1"/>
    <w:unhideWhenUsed/>
    <w:qFormat/>
    <w:uiPriority w:val="99"/>
    <w:pPr>
      <w:tabs>
        <w:tab w:val="center" w:pos="4153"/>
        <w:tab w:val="right" w:pos="8306"/>
      </w:tabs>
      <w:snapToGrid w:val="0"/>
      <w:jc w:val="left"/>
    </w:pPr>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2022-11-17T09:05:00Z</dcterms:created>
  <dc:creator>临水沐阳</dc:creator>
  <cp:lastModifiedBy>临水沐阳</cp:lastModifiedBy>
  <dcterms:modified xsi:type="dcterms:W3CDTF">2022-11-17T09:10:54Z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