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沁县教育局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招生范围划分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6"/>
          <w:szCs w:val="16"/>
        </w:rPr>
      </w:pPr>
    </w:p>
    <w:tbl>
      <w:tblPr>
        <w:tblStyle w:val="2"/>
        <w:tblpPr w:leftFromText="180" w:rightFromText="180" w:vertAnchor="text" w:horzAnchor="page" w:tblpX="1397" w:tblpY="186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720"/>
        <w:gridCol w:w="660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类别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学  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规模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轨制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招生</w:t>
            </w:r>
          </w:p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人数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</w:rPr>
              <w:t>招 生 范 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小  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红旗小学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单号以西至西湖美景小区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（包括沁州黄南路以南片区）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沁阳西街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双号以南的县城西南片区;定昌镇良基村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含东、西良基村）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育才小学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双号以东，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沁阳东街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双号至铁路以南的县城东南片区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(除明德小学招生范围）。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东风小学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沁阳东街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单号至铁路以北，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双号和广北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双号以东的县城东北片区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（包括熙苑湾小区）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；定昌镇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的【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下曲峪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上曲峪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和家沟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、北寺上、小河、北石垢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含灵岗寺、梁家河村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】四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个行政村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胜利小学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沁阳西街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单号以北，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漳源北路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单号和广北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单号以西至南沁线西渠上段往北到朝阳小区路、往南到农贸市场以东的县城西北片区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明德小学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沁州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路（路西唯思可达大于413号，路东南大库大于232号）的县城东南片区；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定昌镇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的【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泊村、宋家沟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暖泉）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、南头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芦家岭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、青屯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含下北里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段柳、长胜、合庄、良楼沟、上北里（含长征）】九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个行政村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，沁州黄镇各行政村。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  <w:t>各乡镇中心校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各乡镇按现有小学划片招生。定昌镇中心校招收县直小学划拨范围以外的本乡镇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其它行政村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育英学校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自主招生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0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  <w:t>中学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沁县中学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育才社区、南关社区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定昌镇合庄、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南石后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、北石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后（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含灵岗寺、梁家河村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实验中学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西湖社区、西苑社区、北关社区、东苑社区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定昌镇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【良基村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（原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西良基、东良基村）、西渠上村（含原西尧沟村）、北寺上、小河、下曲峪村（含原上曲峪村、和家沟村）】五个行政村。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第三中学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南里镇、故县镇、沁州黄镇、新店镇、杨安乡、定昌镇的【段柳、长胜、青屯（含下北里）、上北里（含长征）、良楼沟、南头（含芦家岭）、泊村、宋家沟（含暖泉）】八个行政村。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册村镇、郭村镇、漳源镇、松村镇、牛寺乡、定昌镇的【丈河上、尧科村、北漳村、温庄村、西陈村、段店村、南沟村、中陈村、泊立村、上庄岭村、刘家庄村（含南拐）、迎春村、西段庄村、东岭头村、良庄村、东段庄、红坡村（含坡头）、福村、烟立村）】十九个行政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育英学校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自主招生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沁州中学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4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1"/>
                <w:szCs w:val="21"/>
              </w:rPr>
              <w:t>自主招生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NjZkNGQ5ZWI5ZWVhOTQyNGY3NmNhMGYxMGNjN2YifQ=="/>
  </w:docVars>
  <w:rsids>
    <w:rsidRoot w:val="00000000"/>
    <w:rsid w:val="40C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2024-01-22T09:43:48Z</dcterms:created>
  <dc:creator>lenovo</dc:creator>
  <cp:lastModifiedBy>WPS_1559525078</cp:lastModifiedBy>
  <dcterms:modified xsi:type="dcterms:W3CDTF">2024-01-22T09:45:00Z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F19AC62A74EF4A5AA9C5C3ADDF118219_12</vt:lpwstr>
  </property>
</Properties>
</file>