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沁县教育局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2023年中小学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划分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详细情况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16"/>
          <w:szCs w:val="16"/>
        </w:rPr>
      </w:pPr>
      <w:bookmarkStart w:id="0" w:name="_GoBack"/>
      <w:bookmarkEnd w:id="0"/>
    </w:p>
    <w:tbl>
      <w:tblPr>
        <w:tblStyle w:val="2"/>
        <w:tblpPr w:leftFromText="180" w:rightFromText="180" w:vertAnchor="text" w:horzAnchor="page" w:tblpX="1397" w:tblpY="186"/>
        <w:tblOverlap w:val="never"/>
        <w:tblW w:w="9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1125"/>
        <w:gridCol w:w="720"/>
        <w:gridCol w:w="660"/>
        <w:gridCol w:w="6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黑体" w:hAnsi="宋体" w:eastAsia="黑体" w:cs="宋体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 w:val="21"/>
                <w:szCs w:val="21"/>
              </w:rPr>
              <w:t>类别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宋体" w:eastAsia="黑体" w:cs="宋体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 w:val="21"/>
                <w:szCs w:val="21"/>
              </w:rPr>
              <w:t>学  校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宋体" w:eastAsia="黑体" w:cs="宋体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 w:val="21"/>
                <w:szCs w:val="21"/>
              </w:rPr>
              <w:t>规模</w:t>
            </w:r>
          </w:p>
          <w:p>
            <w:pPr>
              <w:widowControl/>
              <w:spacing w:line="300" w:lineRule="exact"/>
              <w:jc w:val="center"/>
              <w:rPr>
                <w:rFonts w:ascii="黑体" w:hAnsi="宋体" w:eastAsia="黑体" w:cs="宋体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 w:val="21"/>
                <w:szCs w:val="21"/>
              </w:rPr>
              <w:t>轨制</w:t>
            </w:r>
          </w:p>
        </w:tc>
        <w:tc>
          <w:tcPr>
            <w:tcW w:w="6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宋体" w:eastAsia="黑体" w:cs="宋体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 w:val="21"/>
                <w:szCs w:val="21"/>
              </w:rPr>
              <w:t>招生</w:t>
            </w:r>
          </w:p>
          <w:p>
            <w:pPr>
              <w:widowControl/>
              <w:spacing w:line="300" w:lineRule="exact"/>
              <w:jc w:val="center"/>
              <w:rPr>
                <w:rFonts w:ascii="黑体" w:hAnsi="宋体" w:eastAsia="黑体" w:cs="宋体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 w:val="21"/>
                <w:szCs w:val="21"/>
              </w:rPr>
              <w:t>人数</w:t>
            </w:r>
          </w:p>
        </w:tc>
        <w:tc>
          <w:tcPr>
            <w:tcW w:w="64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宋体" w:eastAsia="黑体" w:cs="宋体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 w:val="21"/>
                <w:szCs w:val="21"/>
              </w:rPr>
              <w:t>招 生 范 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690" w:type="dxa"/>
            <w:vMerge w:val="restart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  <w:t>小  学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  <w:t>红旗小学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6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270</w:t>
            </w:r>
          </w:p>
        </w:tc>
        <w:tc>
          <w:tcPr>
            <w:tcW w:w="64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漳源南路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  <w:t>单号以西至西湖美景小区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（包括沁州黄南路以南片区）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沁阳西街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  <w:t>双号以南的县城西南片区;定昌镇良基村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含东、西良基村）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69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  <w:t>育才小学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6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270</w:t>
            </w:r>
          </w:p>
        </w:tc>
        <w:tc>
          <w:tcPr>
            <w:tcW w:w="64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漳源南路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  <w:t>双号以东，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沁阳东街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  <w:t>双号至铁路以南的县城东南片区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(除明德小学招生范围）。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9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  <w:t>东风小学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180</w:t>
            </w:r>
          </w:p>
        </w:tc>
        <w:tc>
          <w:tcPr>
            <w:tcW w:w="64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沁阳东街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  <w:t>单号至铁路以北，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漳源北路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  <w:t>双号和广北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巷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  <w:t>双号以东的县城东北片区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（包括熙苑湾小区）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  <w:t>；定昌镇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的【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  <w:t>下曲峪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含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  <w:t>上曲峪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和家沟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  <w:t>、北寺上、小河、北石垢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含灵岗寺、梁家河村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】四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  <w:t>个行政村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69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eastAsia="zh-CN"/>
              </w:rPr>
              <w:t>胜利小学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6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225</w:t>
            </w:r>
          </w:p>
        </w:tc>
        <w:tc>
          <w:tcPr>
            <w:tcW w:w="64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沁阳西街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  <w:t>单号以北，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漳源北路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  <w:t>单号和广北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巷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  <w:t>单号以西至南沁线西渠上段往北到朝阳小区路、往南到农贸市场以东的县城西北片区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</w:trPr>
        <w:tc>
          <w:tcPr>
            <w:tcW w:w="69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  <w:t>明德小学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135</w:t>
            </w:r>
          </w:p>
        </w:tc>
        <w:tc>
          <w:tcPr>
            <w:tcW w:w="64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  <w:t>沁州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中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  <w:t>路（路西唯思可达大于413号，路东南大库大于232号）的县城东南片区；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定昌镇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的【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  <w:t>泊村、宋家沟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含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暖泉）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  <w:t>、南头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芦家岭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  <w:t>、青屯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含下北里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）、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段柳、长胜、合庄、良楼沟、上北里（含长征）】九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  <w:t>个行政村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，沁州黄镇各行政村。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9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  <w:t>各乡镇中心校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400</w:t>
            </w:r>
          </w:p>
        </w:tc>
        <w:tc>
          <w:tcPr>
            <w:tcW w:w="64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  <w:t>各乡镇按现有小学划片招生。定昌镇中心校招收县直小学划拨范围以外的本乡镇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其它行政村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9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eastAsia="zh-CN"/>
              </w:rPr>
              <w:t>育英学校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45</w:t>
            </w:r>
          </w:p>
        </w:tc>
        <w:tc>
          <w:tcPr>
            <w:tcW w:w="64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  <w:t>自主招生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90" w:type="dxa"/>
            <w:vMerge w:val="restart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eastAsia="zh-CN"/>
              </w:rPr>
              <w:t>中学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  <w:t>沁县中学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6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300</w:t>
            </w:r>
          </w:p>
        </w:tc>
        <w:tc>
          <w:tcPr>
            <w:tcW w:w="64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  <w:t>育才社区、南关社区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  <w:t>定昌镇合庄、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南石后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  <w:t>、北石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后（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含灵岗寺、梁家河村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690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  <w:t>实验中学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6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500</w:t>
            </w:r>
          </w:p>
        </w:tc>
        <w:tc>
          <w:tcPr>
            <w:tcW w:w="64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  <w:t>西湖社区、西苑社区、北关社区、东苑社区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  <w:t>定昌镇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的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  <w:t>【良基村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（原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  <w:t>西良基、东良基村）、西渠上村（含原西尧沟村）、北寺上、小河、下曲峪村（含原上曲峪村、和家沟村）】五个行政村。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69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第三中学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6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360</w:t>
            </w:r>
          </w:p>
        </w:tc>
        <w:tc>
          <w:tcPr>
            <w:tcW w:w="64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南里镇、故县镇、沁州黄镇、新店镇、杨安乡、定昌镇的【段柳、长胜、青屯（含下北里）、上北里（含长征）、良楼沟、南头（含芦家岭）、泊村、宋家沟（含暖泉）】八个行政村。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69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第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五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中学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6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360</w:t>
            </w:r>
          </w:p>
        </w:tc>
        <w:tc>
          <w:tcPr>
            <w:tcW w:w="64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册村镇、郭村镇、漳源镇、松村镇、牛寺乡、定昌镇的【丈河上、尧科村、北漳村、温庄村、西陈村、段店村、南沟村、中陈村、泊立村、上庄岭村、刘家庄村（含南拐）、迎春村、西段庄村、东岭头村、良庄村、东段庄、红坡村（含坡头）、福村、烟立村）】十九个行政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69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  <w:t>育英学校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70</w:t>
            </w:r>
          </w:p>
        </w:tc>
        <w:tc>
          <w:tcPr>
            <w:tcW w:w="64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  <w:t>自主招生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9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  <w:t>沁州中学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70</w:t>
            </w:r>
          </w:p>
        </w:tc>
        <w:tc>
          <w:tcPr>
            <w:tcW w:w="64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  <w:t>自主招生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 w:ascii="黑体" w:eastAsia="黑体"/>
        </w:rPr>
        <w:drawing>
          <wp:inline distT="0" distB="0" distL="114300" distR="114300">
            <wp:extent cx="5616575" cy="7736840"/>
            <wp:effectExtent l="0" t="0" r="3175" b="16510"/>
            <wp:docPr id="3" name="图片 3" descr="b44d3c2d5715aa54d63c4629981ec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b44d3c2d5715aa54d63c4629981ecef"/>
                    <pic:cNvPicPr>
                      <a:picLocks noChangeAspect="1"/>
                    </pic:cNvPicPr>
                  </pic:nvPicPr>
                  <pic:blipFill>
                    <a:blip r:embed="rId4"/>
                    <a:srcRect t="6613" b="5647"/>
                    <a:stretch>
                      <a:fillRect/>
                    </a:stretch>
                  </pic:blipFill>
                  <pic:spPr>
                    <a:xfrm>
                      <a:off x="0" y="0"/>
                      <a:ext cx="5616575" cy="773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mNjZkNGQ5ZWI5ZWVhOTQyNGY3NmNhMGYxMGNjN2YifQ=="/>
  </w:docVars>
  <w:rsids>
    <w:rsidRoot w:val="00000000"/>
    <w:rsid w:val="40CA3E90"/>
    <w:rsid w:val="775C0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2024-01-22T09:43:00Z</dcterms:created>
  <dc:creator>lenovo</dc:creator>
  <cp:lastModifiedBy>WPS_1559525078</cp:lastModifiedBy>
  <dcterms:modified xsi:type="dcterms:W3CDTF">2024-01-22T09:50:56Z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F19AC62A74EF4A5AA9C5C3ADDF118219_12</vt:lpwstr>
  </property>
</Properties>
</file>